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51" w:rsidRPr="00471C51" w:rsidRDefault="00471C51" w:rsidP="00471C51">
      <w:pPr>
        <w:ind w:firstLine="540"/>
        <w:jc w:val="both"/>
        <w:rPr>
          <w:rFonts w:ascii="Times New Roman CYR" w:hAnsi="Times New Roman CYR"/>
          <w:b/>
          <w:sz w:val="24"/>
          <w:szCs w:val="24"/>
        </w:rPr>
      </w:pPr>
      <w:bookmarkStart w:id="0" w:name="_GoBack"/>
      <w:r w:rsidRPr="00471C51">
        <w:rPr>
          <w:rFonts w:ascii="Times New Roman CYR" w:hAnsi="Times New Roman CYR"/>
          <w:b/>
          <w:sz w:val="24"/>
          <w:szCs w:val="24"/>
        </w:rPr>
        <w:t>Стоматология</w:t>
      </w:r>
    </w:p>
    <w:bookmarkEnd w:id="0"/>
    <w:p w:rsidR="00F22BBC" w:rsidRPr="00471C51" w:rsidRDefault="00F22BBC" w:rsidP="00471C51">
      <w:pPr>
        <w:ind w:firstLine="540"/>
        <w:jc w:val="both"/>
        <w:rPr>
          <w:rFonts w:ascii="Times New Roman CYR" w:hAnsi="Times New Roman CYR"/>
          <w:sz w:val="24"/>
          <w:szCs w:val="24"/>
        </w:rPr>
      </w:pPr>
      <w:r w:rsidRPr="00471C51">
        <w:rPr>
          <w:rFonts w:ascii="Times New Roman CYR" w:hAnsi="Times New Roman CYR"/>
          <w:sz w:val="24"/>
          <w:szCs w:val="24"/>
        </w:rPr>
        <w:t xml:space="preserve">Установлено, что </w:t>
      </w:r>
      <w:proofErr w:type="spellStart"/>
      <w:r w:rsidRPr="00471C51">
        <w:rPr>
          <w:rFonts w:ascii="Times New Roman CYR" w:hAnsi="Times New Roman CYR"/>
          <w:sz w:val="24"/>
          <w:szCs w:val="24"/>
        </w:rPr>
        <w:t>пробиотики</w:t>
      </w:r>
      <w:proofErr w:type="spellEnd"/>
      <w:r w:rsidRPr="00471C51">
        <w:rPr>
          <w:rFonts w:ascii="Times New Roman CYR" w:hAnsi="Times New Roman CYR"/>
          <w:sz w:val="24"/>
          <w:szCs w:val="24"/>
        </w:rPr>
        <w:t xml:space="preserve">, в частности </w:t>
      </w:r>
      <w:proofErr w:type="spellStart"/>
      <w:r w:rsidRPr="00471C51">
        <w:rPr>
          <w:rFonts w:ascii="Times New Roman CYR" w:hAnsi="Times New Roman CYR"/>
          <w:sz w:val="24"/>
          <w:szCs w:val="24"/>
        </w:rPr>
        <w:t>Эуфлорин</w:t>
      </w:r>
      <w:proofErr w:type="spellEnd"/>
      <w:r w:rsidRPr="00471C51">
        <w:rPr>
          <w:rFonts w:ascii="Times New Roman CYR" w:hAnsi="Times New Roman CYR"/>
          <w:sz w:val="24"/>
          <w:szCs w:val="24"/>
        </w:rPr>
        <w:t xml:space="preserve"> Л, при местном применении способству</w:t>
      </w:r>
      <w:r w:rsidR="00CC7E6D">
        <w:rPr>
          <w:rFonts w:ascii="Times New Roman CYR" w:hAnsi="Times New Roman CYR"/>
          <w:sz w:val="24"/>
          <w:szCs w:val="24"/>
        </w:rPr>
        <w:t>ю</w:t>
      </w:r>
      <w:r w:rsidRPr="00471C51">
        <w:rPr>
          <w:rFonts w:ascii="Times New Roman CYR" w:hAnsi="Times New Roman CYR"/>
          <w:sz w:val="24"/>
          <w:szCs w:val="24"/>
        </w:rPr>
        <w:t xml:space="preserve">т повышению иммунитета и снижению воспаления в тканях пародонта. Впервые установлено закономерность между силой давления зубной щеткой на ткани пародонта и степенью рецессии десны. Проведенные исследования по включению в рацион питания </w:t>
      </w:r>
      <w:proofErr w:type="spellStart"/>
      <w:r w:rsidRPr="00471C51">
        <w:rPr>
          <w:rFonts w:ascii="Times New Roman CYR" w:hAnsi="Times New Roman CYR"/>
          <w:sz w:val="24"/>
          <w:szCs w:val="24"/>
        </w:rPr>
        <w:t>эубиотиков</w:t>
      </w:r>
      <w:proofErr w:type="spellEnd"/>
      <w:r w:rsidRPr="00471C51">
        <w:rPr>
          <w:rFonts w:ascii="Times New Roman CYR" w:hAnsi="Times New Roman CYR"/>
          <w:sz w:val="24"/>
          <w:szCs w:val="24"/>
        </w:rPr>
        <w:t xml:space="preserve"> показал</w:t>
      </w:r>
      <w:r w:rsidR="00CC7E6D">
        <w:rPr>
          <w:rFonts w:ascii="Times New Roman CYR" w:hAnsi="Times New Roman CYR"/>
          <w:sz w:val="24"/>
          <w:szCs w:val="24"/>
        </w:rPr>
        <w:t>и</w:t>
      </w:r>
      <w:r w:rsidRPr="00471C51">
        <w:rPr>
          <w:rFonts w:ascii="Times New Roman CYR" w:hAnsi="Times New Roman CYR"/>
          <w:sz w:val="24"/>
          <w:szCs w:val="24"/>
        </w:rPr>
        <w:t xml:space="preserve">, что у лиц, ежедневно потребляющих продукты питания с данными добавками в частности, в течение 2 недель на протяжении 6 месяцев, способствует повышению резистентности организма, изменяя показатели местного иммунитета в благоприятную сторону. </w:t>
      </w:r>
    </w:p>
    <w:p w:rsidR="00F22BBC" w:rsidRPr="00471C51" w:rsidRDefault="00F22BBC" w:rsidP="00CC7E6D">
      <w:pPr>
        <w:ind w:firstLine="540"/>
        <w:jc w:val="both"/>
        <w:rPr>
          <w:sz w:val="24"/>
          <w:szCs w:val="24"/>
        </w:rPr>
      </w:pPr>
      <w:r w:rsidRPr="00471C51">
        <w:rPr>
          <w:rFonts w:ascii="Times New Roman CYR" w:hAnsi="Times New Roman CYR"/>
          <w:sz w:val="24"/>
          <w:szCs w:val="24"/>
        </w:rPr>
        <w:t xml:space="preserve">Работа по оценке реставрации ранее </w:t>
      </w:r>
      <w:proofErr w:type="spellStart"/>
      <w:r w:rsidRPr="00471C51">
        <w:rPr>
          <w:rFonts w:ascii="Times New Roman CYR" w:hAnsi="Times New Roman CYR"/>
          <w:sz w:val="24"/>
          <w:szCs w:val="24"/>
        </w:rPr>
        <w:t>депульпированных</w:t>
      </w:r>
      <w:proofErr w:type="spellEnd"/>
      <w:r w:rsidRPr="00471C51">
        <w:rPr>
          <w:rFonts w:ascii="Times New Roman CYR" w:hAnsi="Times New Roman CYR"/>
          <w:sz w:val="24"/>
          <w:szCs w:val="24"/>
        </w:rPr>
        <w:t xml:space="preserve"> зубов выявила эффективность адгезивных систем высокой текучести в сочетании с дифференцированной протравкой твердых тканей в профилактике вторичного кариеса и реинфекции тканей периодонта. Установлено, что препараты </w:t>
      </w:r>
      <w:proofErr w:type="spellStart"/>
      <w:r w:rsidRPr="00471C51">
        <w:rPr>
          <w:rFonts w:ascii="Times New Roman CYR" w:hAnsi="Times New Roman CYR"/>
          <w:sz w:val="24"/>
          <w:szCs w:val="24"/>
        </w:rPr>
        <w:t>бетаметазона</w:t>
      </w:r>
      <w:proofErr w:type="spellEnd"/>
      <w:r w:rsidRPr="00471C51">
        <w:rPr>
          <w:rFonts w:ascii="Times New Roman CYR" w:hAnsi="Times New Roman CYR"/>
          <w:sz w:val="24"/>
          <w:szCs w:val="24"/>
        </w:rPr>
        <w:t xml:space="preserve"> эффективны в лечении эрозивных форм КПЛ слизистой оболочки полости рта. </w:t>
      </w:r>
    </w:p>
    <w:p w:rsidR="00F22BBC" w:rsidRPr="00471C51" w:rsidRDefault="00F22BBC" w:rsidP="00471C51">
      <w:pPr>
        <w:ind w:firstLine="720"/>
        <w:jc w:val="both"/>
        <w:rPr>
          <w:sz w:val="24"/>
          <w:szCs w:val="24"/>
        </w:rPr>
      </w:pPr>
      <w:r w:rsidRPr="00471C51">
        <w:rPr>
          <w:sz w:val="24"/>
          <w:szCs w:val="24"/>
        </w:rPr>
        <w:t xml:space="preserve">Изучен опыт применения </w:t>
      </w:r>
      <w:proofErr w:type="spellStart"/>
      <w:r w:rsidRPr="00471C51">
        <w:rPr>
          <w:sz w:val="24"/>
          <w:szCs w:val="24"/>
        </w:rPr>
        <w:t>Цифрана</w:t>
      </w:r>
      <w:proofErr w:type="spellEnd"/>
      <w:r w:rsidRPr="00471C51">
        <w:rPr>
          <w:sz w:val="24"/>
          <w:szCs w:val="24"/>
        </w:rPr>
        <w:t xml:space="preserve"> </w:t>
      </w:r>
      <w:proofErr w:type="gramStart"/>
      <w:r w:rsidRPr="00471C51">
        <w:rPr>
          <w:sz w:val="24"/>
          <w:szCs w:val="24"/>
        </w:rPr>
        <w:t>СТ</w:t>
      </w:r>
      <w:proofErr w:type="gramEnd"/>
      <w:r w:rsidRPr="00471C51">
        <w:rPr>
          <w:sz w:val="24"/>
          <w:szCs w:val="24"/>
        </w:rPr>
        <w:t xml:space="preserve"> и </w:t>
      </w:r>
      <w:proofErr w:type="spellStart"/>
      <w:r w:rsidRPr="00471C51">
        <w:rPr>
          <w:sz w:val="24"/>
          <w:szCs w:val="24"/>
        </w:rPr>
        <w:t>клабакса</w:t>
      </w:r>
      <w:proofErr w:type="spellEnd"/>
      <w:r w:rsidRPr="00471C51">
        <w:rPr>
          <w:sz w:val="24"/>
          <w:szCs w:val="24"/>
        </w:rPr>
        <w:t xml:space="preserve"> при ступенчатой  антибиотикотерапии при лечении хронических </w:t>
      </w:r>
      <w:proofErr w:type="spellStart"/>
      <w:r w:rsidRPr="00471C51">
        <w:rPr>
          <w:sz w:val="24"/>
          <w:szCs w:val="24"/>
        </w:rPr>
        <w:t>одонтогенных</w:t>
      </w:r>
      <w:proofErr w:type="spellEnd"/>
      <w:r w:rsidRPr="00471C51">
        <w:rPr>
          <w:sz w:val="24"/>
          <w:szCs w:val="24"/>
        </w:rPr>
        <w:t xml:space="preserve"> и травматических остеомиелит</w:t>
      </w:r>
      <w:r w:rsidR="00CC7E6D">
        <w:rPr>
          <w:sz w:val="24"/>
          <w:szCs w:val="24"/>
        </w:rPr>
        <w:t>ов</w:t>
      </w:r>
      <w:r w:rsidRPr="00471C51">
        <w:rPr>
          <w:sz w:val="24"/>
          <w:szCs w:val="24"/>
        </w:rPr>
        <w:t xml:space="preserve">. Изучен опыт  применения </w:t>
      </w:r>
      <w:proofErr w:type="spellStart"/>
      <w:r w:rsidRPr="00471C51">
        <w:rPr>
          <w:sz w:val="24"/>
          <w:szCs w:val="24"/>
        </w:rPr>
        <w:t>клабакса</w:t>
      </w:r>
      <w:proofErr w:type="spellEnd"/>
      <w:r w:rsidRPr="00471C51">
        <w:rPr>
          <w:sz w:val="24"/>
          <w:szCs w:val="24"/>
        </w:rPr>
        <w:t xml:space="preserve"> в острый послеоперационный период при операциях по дентальной </w:t>
      </w:r>
      <w:proofErr w:type="spellStart"/>
      <w:r w:rsidRPr="00471C51">
        <w:rPr>
          <w:sz w:val="24"/>
          <w:szCs w:val="24"/>
        </w:rPr>
        <w:t>имплантологии</w:t>
      </w:r>
      <w:proofErr w:type="spellEnd"/>
      <w:r w:rsidRPr="00471C51">
        <w:rPr>
          <w:sz w:val="24"/>
          <w:szCs w:val="24"/>
        </w:rPr>
        <w:t xml:space="preserve">. </w:t>
      </w:r>
    </w:p>
    <w:p w:rsidR="00F22BBC" w:rsidRPr="00471C51" w:rsidRDefault="00F22BBC" w:rsidP="00471C51">
      <w:pPr>
        <w:ind w:firstLine="720"/>
        <w:jc w:val="both"/>
        <w:rPr>
          <w:sz w:val="24"/>
          <w:szCs w:val="24"/>
        </w:rPr>
      </w:pPr>
      <w:r w:rsidRPr="00471C51">
        <w:rPr>
          <w:sz w:val="24"/>
          <w:szCs w:val="24"/>
        </w:rPr>
        <w:t>Изучается материал по влиянию синдрома дисплазии соединительно ткани на основные процессы в челюстно-лицевой области. Определены изменения обмена соединительной ткани слюнных желез при заболеваниях щитовидной железы. Установлен эффект «</w:t>
      </w:r>
      <w:proofErr w:type="spellStart"/>
      <w:r w:rsidRPr="00471C51">
        <w:rPr>
          <w:sz w:val="24"/>
          <w:szCs w:val="24"/>
        </w:rPr>
        <w:t>Вобэнзима</w:t>
      </w:r>
      <w:proofErr w:type="spellEnd"/>
      <w:r w:rsidRPr="00471C51">
        <w:rPr>
          <w:sz w:val="24"/>
          <w:szCs w:val="24"/>
        </w:rPr>
        <w:t xml:space="preserve">» при лечении воспалительных и воспалительно-дистрофических заболеваний слюнных желез.  </w:t>
      </w:r>
    </w:p>
    <w:p w:rsidR="00471C51" w:rsidRPr="00471C51" w:rsidRDefault="00471C51" w:rsidP="00CC7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proofErr w:type="gramStart"/>
      <w:r w:rsidRPr="00471C51">
        <w:rPr>
          <w:sz w:val="24"/>
          <w:szCs w:val="24"/>
        </w:rPr>
        <w:t xml:space="preserve">Проводилось совершенствование методики лечения повторно протезируемых пациентов с полной вторичной адентией на нижней челюсти, разработано устройство «Скрепка-фиксатор» для фиксации </w:t>
      </w:r>
      <w:proofErr w:type="spellStart"/>
      <w:r w:rsidRPr="00471C51">
        <w:rPr>
          <w:sz w:val="24"/>
          <w:szCs w:val="24"/>
        </w:rPr>
        <w:t>прикусных</w:t>
      </w:r>
      <w:proofErr w:type="spellEnd"/>
      <w:r w:rsidRPr="00471C51">
        <w:rPr>
          <w:sz w:val="24"/>
          <w:szCs w:val="24"/>
        </w:rPr>
        <w:t xml:space="preserve"> валиков.</w:t>
      </w:r>
      <w:proofErr w:type="gramEnd"/>
      <w:r w:rsidR="00CC7E6D">
        <w:rPr>
          <w:sz w:val="24"/>
          <w:szCs w:val="24"/>
        </w:rPr>
        <w:t xml:space="preserve"> </w:t>
      </w:r>
      <w:proofErr w:type="gramStart"/>
      <w:r w:rsidRPr="00471C51">
        <w:rPr>
          <w:sz w:val="24"/>
          <w:szCs w:val="24"/>
        </w:rPr>
        <w:t>Внедрены в практику ортопедической стоматологии:</w:t>
      </w:r>
      <w:proofErr w:type="gramEnd"/>
      <w:r w:rsidRPr="00471C51">
        <w:rPr>
          <w:sz w:val="24"/>
          <w:szCs w:val="24"/>
        </w:rPr>
        <w:t xml:space="preserve"> «Способ протезирования беззубой нижней челюсти», «Способ диагностики непереносимости металлических конструкций в полости рта». </w:t>
      </w:r>
    </w:p>
    <w:p w:rsidR="00471C51" w:rsidRPr="00471C51" w:rsidRDefault="00471C51" w:rsidP="00471C51">
      <w:pPr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471C51">
        <w:rPr>
          <w:rFonts w:ascii="Times New Roman CYR" w:hAnsi="Times New Roman CYR"/>
          <w:sz w:val="24"/>
          <w:szCs w:val="24"/>
        </w:rPr>
        <w:t>Определены диспансерные группы у детей младшего возраста с расщелинами губы и/или неба на основании оценки интенсивности кариеса и степени активности кариеса на этапах диспансеризации.  Проведена комплексная оценка стоматологического статуса полости рта у детей младшего возраста с изучаемой патологией, проведена оценка гигиенической грамотности родителей, дополнены и систематизированы индикаторы оценки качества оказания стоматологической  помощи детям младшего возраста с расщелинами губы и /или неба у врача-стоматолога детского и гигиениста стоматологического.</w:t>
      </w:r>
    </w:p>
    <w:p w:rsidR="00471C51" w:rsidRDefault="00471C51" w:rsidP="00F22BBC">
      <w:pPr>
        <w:jc w:val="both"/>
        <w:rPr>
          <w:sz w:val="28"/>
        </w:rPr>
      </w:pPr>
    </w:p>
    <w:p w:rsidR="00471C51" w:rsidRDefault="00471C51" w:rsidP="00F22BBC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7"/>
        <w:gridCol w:w="1484"/>
      </w:tblGrid>
      <w:tr w:rsidR="00F22BBC" w:rsidRPr="00F22BBC" w:rsidTr="00471C51">
        <w:tc>
          <w:tcPr>
            <w:tcW w:w="9571" w:type="dxa"/>
            <w:gridSpan w:val="2"/>
          </w:tcPr>
          <w:p w:rsidR="00F22BBC" w:rsidRPr="00F22BBC" w:rsidRDefault="00F22BBC" w:rsidP="00F22BBC">
            <w:pPr>
              <w:jc w:val="center"/>
              <w:rPr>
                <w:sz w:val="24"/>
                <w:szCs w:val="24"/>
              </w:rPr>
            </w:pPr>
            <w:r w:rsidRPr="00F22BBC">
              <w:rPr>
                <w:sz w:val="24"/>
                <w:szCs w:val="24"/>
              </w:rPr>
              <w:t>Издано:</w:t>
            </w:r>
          </w:p>
        </w:tc>
      </w:tr>
      <w:tr w:rsidR="00F22BBC" w:rsidRPr="00F22BBC" w:rsidTr="00471C51">
        <w:tc>
          <w:tcPr>
            <w:tcW w:w="8087" w:type="dxa"/>
          </w:tcPr>
          <w:p w:rsidR="00F22BBC" w:rsidRPr="00F22BBC" w:rsidRDefault="00F22BBC" w:rsidP="00F22BBC">
            <w:pPr>
              <w:jc w:val="both"/>
              <w:rPr>
                <w:sz w:val="24"/>
                <w:szCs w:val="24"/>
              </w:rPr>
            </w:pPr>
            <w:r w:rsidRPr="00F22BBC">
              <w:rPr>
                <w:sz w:val="24"/>
                <w:szCs w:val="24"/>
              </w:rPr>
              <w:t>учебников</w:t>
            </w:r>
          </w:p>
        </w:tc>
        <w:tc>
          <w:tcPr>
            <w:tcW w:w="1484" w:type="dxa"/>
          </w:tcPr>
          <w:p w:rsidR="00F22BBC" w:rsidRPr="00F22BBC" w:rsidRDefault="00471C51" w:rsidP="00F22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22BBC" w:rsidRPr="00F22BBC" w:rsidTr="00471C51">
        <w:tc>
          <w:tcPr>
            <w:tcW w:w="8087" w:type="dxa"/>
          </w:tcPr>
          <w:p w:rsidR="00F22BBC" w:rsidRPr="00F22BBC" w:rsidRDefault="00F22BBC" w:rsidP="00F22BBC">
            <w:pPr>
              <w:jc w:val="both"/>
              <w:rPr>
                <w:sz w:val="24"/>
                <w:szCs w:val="24"/>
              </w:rPr>
            </w:pPr>
            <w:r w:rsidRPr="00F22BBC">
              <w:rPr>
                <w:sz w:val="24"/>
                <w:szCs w:val="24"/>
              </w:rPr>
              <w:t>учебно-методических рекомендаций</w:t>
            </w:r>
          </w:p>
        </w:tc>
        <w:tc>
          <w:tcPr>
            <w:tcW w:w="1484" w:type="dxa"/>
          </w:tcPr>
          <w:p w:rsidR="00F22BBC" w:rsidRPr="00F22BBC" w:rsidRDefault="00471C51" w:rsidP="00F22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22BBC" w:rsidRPr="00F22BBC" w:rsidTr="00471C51">
        <w:tc>
          <w:tcPr>
            <w:tcW w:w="8087" w:type="dxa"/>
          </w:tcPr>
          <w:p w:rsidR="00F22BBC" w:rsidRPr="00F22BBC" w:rsidRDefault="00F22BBC" w:rsidP="00F22BBC">
            <w:pPr>
              <w:jc w:val="both"/>
              <w:rPr>
                <w:sz w:val="24"/>
                <w:szCs w:val="24"/>
              </w:rPr>
            </w:pPr>
            <w:r w:rsidRPr="00F22BBC">
              <w:rPr>
                <w:sz w:val="24"/>
                <w:szCs w:val="24"/>
              </w:rPr>
              <w:t>учебных пособий</w:t>
            </w:r>
          </w:p>
        </w:tc>
        <w:tc>
          <w:tcPr>
            <w:tcW w:w="1484" w:type="dxa"/>
          </w:tcPr>
          <w:p w:rsidR="00F22BBC" w:rsidRPr="00F22BBC" w:rsidRDefault="00471C51" w:rsidP="00F22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22BBC" w:rsidRPr="00F22BBC" w:rsidTr="00471C51">
        <w:tc>
          <w:tcPr>
            <w:tcW w:w="8087" w:type="dxa"/>
          </w:tcPr>
          <w:p w:rsidR="00F22BBC" w:rsidRPr="00F22BBC" w:rsidRDefault="00F22BBC" w:rsidP="00F22BBC">
            <w:pPr>
              <w:jc w:val="both"/>
              <w:rPr>
                <w:sz w:val="24"/>
                <w:szCs w:val="24"/>
              </w:rPr>
            </w:pPr>
            <w:r w:rsidRPr="00F22BBC">
              <w:rPr>
                <w:sz w:val="24"/>
                <w:szCs w:val="24"/>
              </w:rPr>
              <w:t>сборников</w:t>
            </w:r>
          </w:p>
        </w:tc>
        <w:tc>
          <w:tcPr>
            <w:tcW w:w="1484" w:type="dxa"/>
          </w:tcPr>
          <w:p w:rsidR="00F22BBC" w:rsidRPr="00471C51" w:rsidRDefault="00471C51" w:rsidP="00F22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22BBC" w:rsidRPr="00F22BBC" w:rsidTr="00471C51">
        <w:tc>
          <w:tcPr>
            <w:tcW w:w="8087" w:type="dxa"/>
          </w:tcPr>
          <w:p w:rsidR="00F22BBC" w:rsidRPr="00F22BBC" w:rsidRDefault="00F22BBC" w:rsidP="00F22BBC">
            <w:pPr>
              <w:jc w:val="both"/>
              <w:rPr>
                <w:sz w:val="24"/>
                <w:szCs w:val="24"/>
              </w:rPr>
            </w:pPr>
            <w:r w:rsidRPr="00F22BBC">
              <w:rPr>
                <w:sz w:val="24"/>
                <w:szCs w:val="24"/>
              </w:rPr>
              <w:t>Опубликовано статей в рецензируемых журналах - всего</w:t>
            </w:r>
          </w:p>
        </w:tc>
        <w:tc>
          <w:tcPr>
            <w:tcW w:w="1484" w:type="dxa"/>
          </w:tcPr>
          <w:p w:rsidR="00F22BBC" w:rsidRPr="00471C51" w:rsidRDefault="00471C51" w:rsidP="00471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</w:tr>
      <w:tr w:rsidR="00F22BBC" w:rsidRPr="00F22BBC" w:rsidTr="00471C51">
        <w:tc>
          <w:tcPr>
            <w:tcW w:w="8087" w:type="dxa"/>
          </w:tcPr>
          <w:p w:rsidR="00F22BBC" w:rsidRPr="00F22BBC" w:rsidRDefault="00F22BBC" w:rsidP="00F22BBC">
            <w:pPr>
              <w:jc w:val="both"/>
              <w:rPr>
                <w:sz w:val="24"/>
                <w:szCs w:val="24"/>
              </w:rPr>
            </w:pPr>
            <w:r w:rsidRPr="00F22BBC">
              <w:rPr>
                <w:sz w:val="24"/>
                <w:szCs w:val="24"/>
              </w:rPr>
              <w:t>в научных журналах, включенных в РИНЦ</w:t>
            </w:r>
          </w:p>
        </w:tc>
        <w:tc>
          <w:tcPr>
            <w:tcW w:w="1484" w:type="dxa"/>
          </w:tcPr>
          <w:p w:rsidR="00F22BBC" w:rsidRPr="00F22BBC" w:rsidRDefault="00F22BBC" w:rsidP="00F22BBC">
            <w:pPr>
              <w:jc w:val="center"/>
              <w:rPr>
                <w:sz w:val="24"/>
                <w:szCs w:val="24"/>
              </w:rPr>
            </w:pPr>
            <w:r w:rsidRPr="00F22BBC">
              <w:rPr>
                <w:sz w:val="24"/>
                <w:szCs w:val="24"/>
              </w:rPr>
              <w:t>10</w:t>
            </w:r>
          </w:p>
        </w:tc>
      </w:tr>
      <w:tr w:rsidR="00F22BBC" w:rsidRPr="00F22BBC" w:rsidTr="00471C51">
        <w:tc>
          <w:tcPr>
            <w:tcW w:w="8087" w:type="dxa"/>
          </w:tcPr>
          <w:p w:rsidR="00F22BBC" w:rsidRPr="00F22BBC" w:rsidRDefault="00F22BBC" w:rsidP="00F22BBC">
            <w:pPr>
              <w:jc w:val="both"/>
              <w:rPr>
                <w:sz w:val="24"/>
                <w:szCs w:val="24"/>
              </w:rPr>
            </w:pPr>
            <w:r w:rsidRPr="00F22BBC">
              <w:rPr>
                <w:sz w:val="24"/>
                <w:szCs w:val="24"/>
              </w:rPr>
              <w:t>в российских научных журналах, включенных в перечень ВАК</w:t>
            </w:r>
          </w:p>
        </w:tc>
        <w:tc>
          <w:tcPr>
            <w:tcW w:w="1484" w:type="dxa"/>
          </w:tcPr>
          <w:p w:rsidR="00F22BBC" w:rsidRPr="00F22BBC" w:rsidRDefault="00471C51" w:rsidP="00471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22BBC" w:rsidRPr="00F22BBC" w:rsidTr="00471C51">
        <w:tc>
          <w:tcPr>
            <w:tcW w:w="8087" w:type="dxa"/>
          </w:tcPr>
          <w:p w:rsidR="00F22BBC" w:rsidRPr="00F22BBC" w:rsidRDefault="00F22BBC" w:rsidP="00F22BBC">
            <w:pPr>
              <w:jc w:val="both"/>
              <w:rPr>
                <w:sz w:val="24"/>
                <w:szCs w:val="24"/>
              </w:rPr>
            </w:pPr>
            <w:r w:rsidRPr="00F22BBC">
              <w:rPr>
                <w:sz w:val="24"/>
                <w:szCs w:val="24"/>
              </w:rPr>
              <w:t>за рубежом</w:t>
            </w:r>
          </w:p>
        </w:tc>
        <w:tc>
          <w:tcPr>
            <w:tcW w:w="1484" w:type="dxa"/>
          </w:tcPr>
          <w:p w:rsidR="00F22BBC" w:rsidRPr="00F22BBC" w:rsidRDefault="00F22BBC" w:rsidP="00F22BBC">
            <w:pPr>
              <w:jc w:val="center"/>
              <w:rPr>
                <w:sz w:val="24"/>
                <w:szCs w:val="24"/>
              </w:rPr>
            </w:pPr>
            <w:r w:rsidRPr="00F22BBC">
              <w:rPr>
                <w:sz w:val="24"/>
                <w:szCs w:val="24"/>
              </w:rPr>
              <w:t>2</w:t>
            </w:r>
          </w:p>
        </w:tc>
      </w:tr>
      <w:tr w:rsidR="00F22BBC" w:rsidRPr="00F22BBC" w:rsidTr="00471C51">
        <w:tc>
          <w:tcPr>
            <w:tcW w:w="8087" w:type="dxa"/>
          </w:tcPr>
          <w:p w:rsidR="00F22BBC" w:rsidRPr="00F22BBC" w:rsidRDefault="00F22BBC" w:rsidP="00F22BBC">
            <w:pPr>
              <w:jc w:val="both"/>
              <w:rPr>
                <w:sz w:val="24"/>
                <w:szCs w:val="24"/>
              </w:rPr>
            </w:pPr>
            <w:r w:rsidRPr="00F22BBC">
              <w:rPr>
                <w:sz w:val="24"/>
                <w:szCs w:val="24"/>
              </w:rPr>
              <w:t>Получено грантов - всего</w:t>
            </w:r>
          </w:p>
        </w:tc>
        <w:tc>
          <w:tcPr>
            <w:tcW w:w="1484" w:type="dxa"/>
          </w:tcPr>
          <w:p w:rsidR="00F22BBC" w:rsidRPr="00F22BBC" w:rsidRDefault="00F22BBC" w:rsidP="00F22BBC">
            <w:pPr>
              <w:jc w:val="center"/>
              <w:rPr>
                <w:sz w:val="24"/>
                <w:szCs w:val="24"/>
              </w:rPr>
            </w:pPr>
            <w:r w:rsidRPr="00F22BBC">
              <w:rPr>
                <w:sz w:val="24"/>
                <w:szCs w:val="24"/>
              </w:rPr>
              <w:t>1</w:t>
            </w:r>
          </w:p>
        </w:tc>
      </w:tr>
      <w:tr w:rsidR="00F22BBC" w:rsidRPr="00F22BBC" w:rsidTr="00471C51">
        <w:tc>
          <w:tcPr>
            <w:tcW w:w="8087" w:type="dxa"/>
          </w:tcPr>
          <w:p w:rsidR="00F22BBC" w:rsidRPr="00F22BBC" w:rsidRDefault="00F22BBC" w:rsidP="00F22BBC">
            <w:pPr>
              <w:jc w:val="both"/>
              <w:rPr>
                <w:sz w:val="24"/>
                <w:szCs w:val="24"/>
              </w:rPr>
            </w:pPr>
            <w:r w:rsidRPr="00F22BBC">
              <w:rPr>
                <w:sz w:val="24"/>
                <w:szCs w:val="24"/>
              </w:rPr>
              <w:t xml:space="preserve">      из них зарубежных</w:t>
            </w:r>
          </w:p>
        </w:tc>
        <w:tc>
          <w:tcPr>
            <w:tcW w:w="1484" w:type="dxa"/>
          </w:tcPr>
          <w:p w:rsidR="00F22BBC" w:rsidRPr="00F22BBC" w:rsidRDefault="00F22BBC" w:rsidP="00F22BBC">
            <w:pPr>
              <w:jc w:val="center"/>
              <w:rPr>
                <w:sz w:val="24"/>
                <w:szCs w:val="24"/>
              </w:rPr>
            </w:pPr>
            <w:r w:rsidRPr="00F22BBC">
              <w:rPr>
                <w:sz w:val="24"/>
                <w:szCs w:val="24"/>
              </w:rPr>
              <w:t>-</w:t>
            </w:r>
          </w:p>
        </w:tc>
      </w:tr>
      <w:tr w:rsidR="00F22BBC" w:rsidRPr="00F22BBC" w:rsidTr="00471C51">
        <w:tc>
          <w:tcPr>
            <w:tcW w:w="8087" w:type="dxa"/>
          </w:tcPr>
          <w:p w:rsidR="00F22BBC" w:rsidRPr="00F22BBC" w:rsidRDefault="00F22BBC" w:rsidP="00F22BBC">
            <w:pPr>
              <w:jc w:val="center"/>
              <w:rPr>
                <w:sz w:val="24"/>
                <w:szCs w:val="24"/>
              </w:rPr>
            </w:pPr>
            <w:r w:rsidRPr="00F22BBC">
              <w:rPr>
                <w:sz w:val="24"/>
                <w:szCs w:val="24"/>
              </w:rPr>
              <w:t>ОБЩЕЕ КОЛИЧЕСТВО НАУЧНЫХ ПУБЛИКАЦИЙ</w:t>
            </w:r>
          </w:p>
        </w:tc>
        <w:tc>
          <w:tcPr>
            <w:tcW w:w="1484" w:type="dxa"/>
          </w:tcPr>
          <w:p w:rsidR="00F22BBC" w:rsidRPr="00471C51" w:rsidRDefault="00471C51" w:rsidP="00F22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161A74" w:rsidRDefault="00161A74">
      <w:pPr>
        <w:rPr>
          <w:lang w:val="en-US"/>
        </w:rPr>
      </w:pPr>
    </w:p>
    <w:p w:rsidR="00471C51" w:rsidRPr="00471C51" w:rsidRDefault="00471C51">
      <w:pPr>
        <w:rPr>
          <w:lang w:val="en-US"/>
        </w:rPr>
      </w:pPr>
    </w:p>
    <w:sectPr w:rsidR="00471C51" w:rsidRPr="00471C51" w:rsidSect="00F44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22BBC"/>
    <w:rsid w:val="00161A74"/>
    <w:rsid w:val="00471C51"/>
    <w:rsid w:val="00CC7E6D"/>
    <w:rsid w:val="00F22BBC"/>
    <w:rsid w:val="00F44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dissovet</cp:lastModifiedBy>
  <cp:revision>3</cp:revision>
  <dcterms:created xsi:type="dcterms:W3CDTF">2015-11-04T07:28:00Z</dcterms:created>
  <dcterms:modified xsi:type="dcterms:W3CDTF">2015-11-05T08:34:00Z</dcterms:modified>
</cp:coreProperties>
</file>