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8E" w:rsidRPr="001D098E" w:rsidRDefault="001D098E" w:rsidP="001D098E">
      <w:pPr>
        <w:spacing w:line="240" w:lineRule="auto"/>
        <w:ind w:firstLine="709"/>
        <w:jc w:val="both"/>
        <w:rPr>
          <w:rFonts w:ascii="Times New Roman" w:hAnsi="Times New Roman"/>
          <w:sz w:val="28"/>
        </w:rPr>
      </w:pPr>
      <w:r>
        <w:rPr>
          <w:rFonts w:ascii="Times New Roman" w:hAnsi="Times New Roman"/>
          <w:sz w:val="28"/>
        </w:rPr>
        <w:t>Анестезиология и реанимация</w:t>
      </w:r>
    </w:p>
    <w:p w:rsidR="001D098E" w:rsidRPr="00371F2B" w:rsidRDefault="001D098E" w:rsidP="001D098E">
      <w:pPr>
        <w:spacing w:line="240" w:lineRule="auto"/>
        <w:ind w:firstLine="709"/>
        <w:jc w:val="both"/>
        <w:rPr>
          <w:rFonts w:ascii="Times New Roman" w:hAnsi="Times New Roman"/>
          <w:sz w:val="28"/>
          <w:szCs w:val="28"/>
        </w:rPr>
      </w:pPr>
      <w:r w:rsidRPr="00371F2B">
        <w:rPr>
          <w:rFonts w:ascii="Times New Roman" w:hAnsi="Times New Roman"/>
          <w:sz w:val="28"/>
        </w:rPr>
        <w:t xml:space="preserve">В экспериментальных и клинических исследованиях доказано, что </w:t>
      </w:r>
      <w:r>
        <w:rPr>
          <w:rFonts w:ascii="Times New Roman" w:hAnsi="Times New Roman"/>
          <w:sz w:val="28"/>
        </w:rPr>
        <w:t xml:space="preserve">применение в качестве протезирующего материала при </w:t>
      </w:r>
      <w:proofErr w:type="spellStart"/>
      <w:r>
        <w:rPr>
          <w:rFonts w:ascii="Times New Roman" w:hAnsi="Times New Roman"/>
          <w:sz w:val="28"/>
        </w:rPr>
        <w:t>грыжесечении</w:t>
      </w:r>
      <w:proofErr w:type="spellEnd"/>
      <w:r>
        <w:rPr>
          <w:rFonts w:ascii="Times New Roman" w:hAnsi="Times New Roman"/>
          <w:sz w:val="28"/>
        </w:rPr>
        <w:t xml:space="preserve"> биологического материала «</w:t>
      </w:r>
      <w:proofErr w:type="spellStart"/>
      <w:r>
        <w:rPr>
          <w:rFonts w:ascii="Times New Roman" w:hAnsi="Times New Roman"/>
          <w:sz w:val="28"/>
        </w:rPr>
        <w:t>Аллоплант</w:t>
      </w:r>
      <w:proofErr w:type="spellEnd"/>
      <w:r>
        <w:rPr>
          <w:rFonts w:ascii="Times New Roman" w:hAnsi="Times New Roman"/>
          <w:sz w:val="28"/>
        </w:rPr>
        <w:t>» и «</w:t>
      </w:r>
      <w:proofErr w:type="spellStart"/>
      <w:r>
        <w:rPr>
          <w:rFonts w:ascii="Times New Roman" w:hAnsi="Times New Roman"/>
          <w:sz w:val="28"/>
        </w:rPr>
        <w:t>Биопласт</w:t>
      </w:r>
      <w:proofErr w:type="spellEnd"/>
      <w:r>
        <w:rPr>
          <w:rFonts w:ascii="Times New Roman" w:hAnsi="Times New Roman"/>
          <w:sz w:val="28"/>
        </w:rPr>
        <w:t xml:space="preserve">» из твердой мозговой оболочки в процессе </w:t>
      </w:r>
      <w:proofErr w:type="spellStart"/>
      <w:r>
        <w:rPr>
          <w:rFonts w:ascii="Times New Roman" w:hAnsi="Times New Roman"/>
          <w:sz w:val="28"/>
        </w:rPr>
        <w:t>ремоделирования</w:t>
      </w:r>
      <w:proofErr w:type="spellEnd"/>
      <w:r>
        <w:rPr>
          <w:rFonts w:ascii="Times New Roman" w:hAnsi="Times New Roman"/>
          <w:sz w:val="28"/>
        </w:rPr>
        <w:t xml:space="preserve"> формирует соединительную ткань по типу регенерата и улучшает результаты хирургического лечения пациентов с вентральными грыжами</w:t>
      </w:r>
      <w:r w:rsidRPr="00371F2B">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7"/>
        <w:gridCol w:w="1484"/>
      </w:tblGrid>
      <w:tr w:rsidR="001D098E" w:rsidRPr="001D098E" w:rsidTr="001D098E">
        <w:tc>
          <w:tcPr>
            <w:tcW w:w="9571" w:type="dxa"/>
            <w:gridSpan w:val="2"/>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Издано:</w:t>
            </w:r>
          </w:p>
        </w:tc>
      </w:tr>
      <w:tr w:rsidR="001D098E" w:rsidRPr="001D098E" w:rsidTr="001D098E">
        <w:tc>
          <w:tcPr>
            <w:tcW w:w="8087" w:type="dxa"/>
          </w:tcPr>
          <w:p w:rsidR="001D098E" w:rsidRPr="001D098E" w:rsidRDefault="001D098E" w:rsidP="001D098E">
            <w:pPr>
              <w:spacing w:after="0" w:line="240" w:lineRule="auto"/>
              <w:jc w:val="both"/>
              <w:rPr>
                <w:rFonts w:ascii="Times New Roman" w:hAnsi="Times New Roman"/>
                <w:sz w:val="24"/>
                <w:szCs w:val="24"/>
              </w:rPr>
            </w:pPr>
            <w:r w:rsidRPr="001D098E">
              <w:rPr>
                <w:rFonts w:ascii="Times New Roman" w:hAnsi="Times New Roman"/>
                <w:sz w:val="24"/>
                <w:szCs w:val="24"/>
              </w:rPr>
              <w:t>учебных пособий</w:t>
            </w:r>
          </w:p>
        </w:tc>
        <w:tc>
          <w:tcPr>
            <w:tcW w:w="1484"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4</w:t>
            </w:r>
          </w:p>
        </w:tc>
      </w:tr>
      <w:tr w:rsidR="001D098E" w:rsidRPr="001D098E" w:rsidTr="001D098E">
        <w:tc>
          <w:tcPr>
            <w:tcW w:w="8087" w:type="dxa"/>
          </w:tcPr>
          <w:p w:rsidR="001D098E" w:rsidRPr="001D098E" w:rsidRDefault="001D098E" w:rsidP="001D098E">
            <w:pPr>
              <w:spacing w:after="0" w:line="240" w:lineRule="auto"/>
              <w:jc w:val="both"/>
              <w:rPr>
                <w:rFonts w:ascii="Times New Roman" w:hAnsi="Times New Roman"/>
                <w:sz w:val="24"/>
                <w:szCs w:val="24"/>
              </w:rPr>
            </w:pPr>
            <w:r w:rsidRPr="001D098E">
              <w:rPr>
                <w:rFonts w:ascii="Times New Roman" w:hAnsi="Times New Roman"/>
                <w:sz w:val="24"/>
                <w:szCs w:val="24"/>
              </w:rPr>
              <w:t>Опубликовано статей в рецензируемых журналах - всего</w:t>
            </w:r>
          </w:p>
        </w:tc>
        <w:tc>
          <w:tcPr>
            <w:tcW w:w="1484"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13</w:t>
            </w:r>
          </w:p>
        </w:tc>
      </w:tr>
      <w:tr w:rsidR="001D098E" w:rsidRPr="001D098E" w:rsidTr="001D098E">
        <w:tc>
          <w:tcPr>
            <w:tcW w:w="8087" w:type="dxa"/>
          </w:tcPr>
          <w:p w:rsidR="001D098E" w:rsidRPr="001D098E" w:rsidRDefault="001D098E" w:rsidP="001D098E">
            <w:pPr>
              <w:spacing w:after="0" w:line="240" w:lineRule="auto"/>
              <w:jc w:val="both"/>
              <w:rPr>
                <w:rFonts w:ascii="Times New Roman" w:hAnsi="Times New Roman"/>
                <w:sz w:val="24"/>
                <w:szCs w:val="24"/>
              </w:rPr>
            </w:pPr>
            <w:r w:rsidRPr="001D098E">
              <w:rPr>
                <w:rFonts w:ascii="Times New Roman" w:hAnsi="Times New Roman"/>
                <w:sz w:val="24"/>
                <w:szCs w:val="24"/>
              </w:rPr>
              <w:t>в российских научных журналах, включенных в перечень ВАК</w:t>
            </w:r>
          </w:p>
        </w:tc>
        <w:tc>
          <w:tcPr>
            <w:tcW w:w="1484"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6</w:t>
            </w:r>
          </w:p>
        </w:tc>
      </w:tr>
      <w:tr w:rsidR="001D098E" w:rsidRPr="001D098E" w:rsidTr="001D098E">
        <w:tc>
          <w:tcPr>
            <w:tcW w:w="8087" w:type="dxa"/>
          </w:tcPr>
          <w:p w:rsidR="001D098E" w:rsidRPr="001D098E" w:rsidRDefault="001D098E" w:rsidP="001D098E">
            <w:pPr>
              <w:spacing w:after="0" w:line="240" w:lineRule="auto"/>
              <w:jc w:val="both"/>
              <w:rPr>
                <w:rFonts w:ascii="Times New Roman" w:hAnsi="Times New Roman"/>
                <w:sz w:val="24"/>
                <w:szCs w:val="24"/>
              </w:rPr>
            </w:pPr>
            <w:r w:rsidRPr="001D098E">
              <w:rPr>
                <w:rFonts w:ascii="Times New Roman" w:hAnsi="Times New Roman"/>
                <w:sz w:val="24"/>
                <w:szCs w:val="24"/>
              </w:rPr>
              <w:t>в сборниках</w:t>
            </w:r>
          </w:p>
        </w:tc>
        <w:tc>
          <w:tcPr>
            <w:tcW w:w="1484"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4</w:t>
            </w:r>
          </w:p>
        </w:tc>
      </w:tr>
      <w:tr w:rsidR="001D098E" w:rsidRPr="001D098E" w:rsidTr="001D098E">
        <w:tc>
          <w:tcPr>
            <w:tcW w:w="8087"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ОБЩЕЕ КОЛИЧЕСТВО НАУЧНЫХ ПУБЛИКАЦИЙ</w:t>
            </w:r>
          </w:p>
        </w:tc>
        <w:tc>
          <w:tcPr>
            <w:tcW w:w="1484" w:type="dxa"/>
          </w:tcPr>
          <w:p w:rsidR="001D098E" w:rsidRPr="001D098E" w:rsidRDefault="001D098E" w:rsidP="001D098E">
            <w:pPr>
              <w:spacing w:after="0" w:line="240" w:lineRule="auto"/>
              <w:jc w:val="center"/>
              <w:rPr>
                <w:rFonts w:ascii="Times New Roman" w:hAnsi="Times New Roman"/>
                <w:sz w:val="24"/>
                <w:szCs w:val="24"/>
              </w:rPr>
            </w:pPr>
            <w:r w:rsidRPr="001D098E">
              <w:rPr>
                <w:rFonts w:ascii="Times New Roman" w:hAnsi="Times New Roman"/>
                <w:sz w:val="24"/>
                <w:szCs w:val="24"/>
              </w:rPr>
              <w:t>27</w:t>
            </w:r>
          </w:p>
        </w:tc>
      </w:tr>
    </w:tbl>
    <w:p w:rsidR="001D098E" w:rsidRDefault="001D098E" w:rsidP="001D098E">
      <w:pPr>
        <w:spacing w:after="0" w:line="240" w:lineRule="auto"/>
        <w:ind w:firstLine="567"/>
        <w:jc w:val="both"/>
        <w:rPr>
          <w:rFonts w:ascii="Times New Roman" w:eastAsiaTheme="minorHAnsi" w:hAnsi="Times New Roman"/>
          <w:sz w:val="24"/>
          <w:szCs w:val="24"/>
          <w:lang w:eastAsia="en-US"/>
        </w:rPr>
      </w:pP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proofErr w:type="spellStart"/>
      <w:r w:rsidRPr="001D098E">
        <w:rPr>
          <w:rFonts w:ascii="Times New Roman" w:eastAsiaTheme="minorHAnsi" w:hAnsi="Times New Roman"/>
          <w:sz w:val="28"/>
          <w:szCs w:val="28"/>
          <w:lang w:eastAsia="en-US"/>
        </w:rPr>
        <w:t>Толстолуцкий</w:t>
      </w:r>
      <w:proofErr w:type="spellEnd"/>
      <w:r w:rsidRPr="001D098E">
        <w:rPr>
          <w:rFonts w:ascii="Times New Roman" w:eastAsiaTheme="minorHAnsi" w:hAnsi="Times New Roman"/>
          <w:sz w:val="28"/>
          <w:szCs w:val="28"/>
          <w:lang w:eastAsia="en-US"/>
        </w:rPr>
        <w:t xml:space="preserve"> А.Ю.</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Освоены научные методики экспериментального исследования, проведен анализ научной литературы по изучаемой проблеме, определен перечень и диапазон показателей качества растворов антисептический лекарственных средств, применяемых для санации гнойных полостей. Доказано положительное влияние использования раствора гидрокарбоната натрия насыщенного перекисью водорода при санации полости эмпиемы плевры специфической этиологии при множественной лекарственной устойчивости возбудителя туберкулеза к антибактериальным препаратам.</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Сорокин Э.П.</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Проводится набор материала по теме докторской диссертации. Изучается ответ на травматичес</w:t>
      </w:r>
      <w:bookmarkStart w:id="0" w:name="_GoBack"/>
      <w:bookmarkEnd w:id="0"/>
      <w:r w:rsidRPr="001D098E">
        <w:rPr>
          <w:rFonts w:ascii="Times New Roman" w:eastAsiaTheme="minorHAnsi" w:hAnsi="Times New Roman"/>
          <w:sz w:val="28"/>
          <w:szCs w:val="28"/>
          <w:lang w:eastAsia="en-US"/>
        </w:rPr>
        <w:t xml:space="preserve">кий и операционный стресс у пациентов с сочетанными и торакоабдоминальными травмами.  </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Пономарев С.В.</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Ведется литературный обзор и набирается материал по теме кандидатской диссертации.</w:t>
      </w:r>
    </w:p>
    <w:p w:rsidR="001D098E" w:rsidRPr="001D098E" w:rsidRDefault="001D098E" w:rsidP="001D098E">
      <w:pPr>
        <w:spacing w:after="0" w:line="240" w:lineRule="auto"/>
        <w:ind w:firstLine="567"/>
        <w:jc w:val="both"/>
        <w:rPr>
          <w:rFonts w:ascii="Times New Roman" w:eastAsiaTheme="minorHAnsi" w:hAnsi="Times New Roman"/>
          <w:sz w:val="28"/>
          <w:szCs w:val="28"/>
          <w:lang w:eastAsia="en-US"/>
        </w:rPr>
      </w:pPr>
      <w:r w:rsidRPr="001D098E">
        <w:rPr>
          <w:rFonts w:ascii="Times New Roman" w:eastAsiaTheme="minorHAnsi" w:hAnsi="Times New Roman"/>
          <w:sz w:val="28"/>
          <w:szCs w:val="28"/>
          <w:lang w:eastAsia="en-US"/>
        </w:rPr>
        <w:t xml:space="preserve">Изучается метаболизм стрессовых реакций и комплексных </w:t>
      </w:r>
      <w:proofErr w:type="gramStart"/>
      <w:r w:rsidRPr="001D098E">
        <w:rPr>
          <w:rFonts w:ascii="Times New Roman" w:eastAsiaTheme="minorHAnsi" w:hAnsi="Times New Roman"/>
          <w:sz w:val="28"/>
          <w:szCs w:val="28"/>
          <w:lang w:eastAsia="en-US"/>
        </w:rPr>
        <w:t>изменениях</w:t>
      </w:r>
      <w:proofErr w:type="gramEnd"/>
      <w:r w:rsidRPr="001D098E">
        <w:rPr>
          <w:rFonts w:ascii="Times New Roman" w:eastAsiaTheme="minorHAnsi" w:hAnsi="Times New Roman"/>
          <w:sz w:val="28"/>
          <w:szCs w:val="28"/>
          <w:lang w:eastAsia="en-US"/>
        </w:rPr>
        <w:t xml:space="preserve"> в обмене энергии, липидов, протеинов, углеводов, возникающих при синдроме </w:t>
      </w:r>
      <w:proofErr w:type="spellStart"/>
      <w:r w:rsidRPr="001D098E">
        <w:rPr>
          <w:rFonts w:ascii="Times New Roman" w:eastAsiaTheme="minorHAnsi" w:hAnsi="Times New Roman"/>
          <w:sz w:val="28"/>
          <w:szCs w:val="28"/>
          <w:lang w:eastAsia="en-US"/>
        </w:rPr>
        <w:t>гиперметаболизма</w:t>
      </w:r>
      <w:proofErr w:type="spellEnd"/>
      <w:r w:rsidRPr="001D098E">
        <w:rPr>
          <w:rFonts w:ascii="Times New Roman" w:eastAsiaTheme="minorHAnsi" w:hAnsi="Times New Roman"/>
          <w:sz w:val="28"/>
          <w:szCs w:val="28"/>
          <w:lang w:eastAsia="en-US"/>
        </w:rPr>
        <w:t xml:space="preserve"> и </w:t>
      </w:r>
      <w:proofErr w:type="spellStart"/>
      <w:r w:rsidRPr="001D098E">
        <w:rPr>
          <w:rFonts w:ascii="Times New Roman" w:eastAsiaTheme="minorHAnsi" w:hAnsi="Times New Roman"/>
          <w:sz w:val="28"/>
          <w:szCs w:val="28"/>
          <w:lang w:eastAsia="en-US"/>
        </w:rPr>
        <w:t>гиперкатаболизма</w:t>
      </w:r>
      <w:proofErr w:type="spellEnd"/>
      <w:r w:rsidRPr="001D098E">
        <w:rPr>
          <w:rFonts w:ascii="Times New Roman" w:eastAsiaTheme="minorHAnsi" w:hAnsi="Times New Roman"/>
          <w:sz w:val="28"/>
          <w:szCs w:val="28"/>
          <w:lang w:eastAsia="en-US"/>
        </w:rPr>
        <w:t xml:space="preserve"> у больных с травмой груди и живота.</w:t>
      </w:r>
    </w:p>
    <w:p w:rsidR="001D098E" w:rsidRPr="001D098E" w:rsidRDefault="001D098E" w:rsidP="001D098E">
      <w:pPr>
        <w:spacing w:after="0" w:line="240" w:lineRule="auto"/>
        <w:ind w:firstLine="567"/>
        <w:jc w:val="both"/>
        <w:rPr>
          <w:rFonts w:ascii="Times New Roman" w:eastAsiaTheme="minorHAns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7"/>
        <w:gridCol w:w="1484"/>
      </w:tblGrid>
      <w:tr w:rsidR="001D098E" w:rsidRPr="001D098E" w:rsidTr="00D0758B">
        <w:tc>
          <w:tcPr>
            <w:tcW w:w="9571" w:type="dxa"/>
            <w:gridSpan w:val="2"/>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Издано:</w:t>
            </w:r>
          </w:p>
        </w:tc>
      </w:tr>
      <w:tr w:rsidR="001D098E" w:rsidRPr="001D098E" w:rsidTr="00D0758B">
        <w:tc>
          <w:tcPr>
            <w:tcW w:w="8087"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учебных пособий</w:t>
            </w:r>
          </w:p>
        </w:tc>
        <w:tc>
          <w:tcPr>
            <w:tcW w:w="1484"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1</w:t>
            </w:r>
          </w:p>
        </w:tc>
      </w:tr>
      <w:tr w:rsidR="001D098E" w:rsidRPr="001D098E" w:rsidTr="00D0758B">
        <w:tc>
          <w:tcPr>
            <w:tcW w:w="8087"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Опубликовано статей в рецензируемых журналах - всего</w:t>
            </w:r>
          </w:p>
        </w:tc>
        <w:tc>
          <w:tcPr>
            <w:tcW w:w="1484"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16</w:t>
            </w:r>
          </w:p>
        </w:tc>
      </w:tr>
      <w:tr w:rsidR="001D098E" w:rsidRPr="001D098E" w:rsidTr="00D0758B">
        <w:tc>
          <w:tcPr>
            <w:tcW w:w="8087"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в российских научных журналах, включенных в перечень ВАК</w:t>
            </w:r>
          </w:p>
        </w:tc>
        <w:tc>
          <w:tcPr>
            <w:tcW w:w="1484"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6</w:t>
            </w:r>
          </w:p>
        </w:tc>
      </w:tr>
      <w:tr w:rsidR="001D098E" w:rsidRPr="001D098E" w:rsidTr="00D0758B">
        <w:tc>
          <w:tcPr>
            <w:tcW w:w="8087"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ОБЩЕЕ КОЛИЧЕСТВО НАУЧНЫХ ПУБЛИКАЦИЙ</w:t>
            </w:r>
          </w:p>
        </w:tc>
        <w:tc>
          <w:tcPr>
            <w:tcW w:w="1484" w:type="dxa"/>
          </w:tcPr>
          <w:p w:rsidR="001D098E" w:rsidRPr="001D098E" w:rsidRDefault="001D098E" w:rsidP="001D098E">
            <w:pPr>
              <w:overflowPunct w:val="0"/>
              <w:autoSpaceDE w:val="0"/>
              <w:autoSpaceDN w:val="0"/>
              <w:adjustRightInd w:val="0"/>
              <w:spacing w:after="0" w:line="240" w:lineRule="auto"/>
              <w:ind w:firstLine="567"/>
              <w:jc w:val="both"/>
              <w:textAlignment w:val="baseline"/>
              <w:rPr>
                <w:rFonts w:ascii="Times New Roman" w:hAnsi="Times New Roman"/>
                <w:sz w:val="24"/>
                <w:szCs w:val="24"/>
              </w:rPr>
            </w:pPr>
            <w:r w:rsidRPr="001D098E">
              <w:rPr>
                <w:rFonts w:ascii="Times New Roman" w:hAnsi="Times New Roman"/>
                <w:sz w:val="24"/>
                <w:szCs w:val="24"/>
              </w:rPr>
              <w:t>22</w:t>
            </w:r>
          </w:p>
        </w:tc>
      </w:tr>
    </w:tbl>
    <w:p w:rsidR="006F16D9" w:rsidRDefault="006F16D9"/>
    <w:sectPr w:rsidR="006F1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98E"/>
    <w:rsid w:val="001D098E"/>
    <w:rsid w:val="006F1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98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1547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2015-10-28T16:06:00Z</dcterms:created>
  <dcterms:modified xsi:type="dcterms:W3CDTF">2015-10-28T16:13:00Z</dcterms:modified>
</cp:coreProperties>
</file>