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DF" w:rsidRPr="00DC724C" w:rsidRDefault="004B65DF" w:rsidP="004B65DF">
      <w:pPr>
        <w:jc w:val="center"/>
        <w:rPr>
          <w:b/>
          <w:sz w:val="28"/>
          <w:szCs w:val="28"/>
        </w:rPr>
      </w:pPr>
      <w:r w:rsidRPr="00DC724C">
        <w:rPr>
          <w:b/>
          <w:sz w:val="28"/>
          <w:szCs w:val="28"/>
        </w:rPr>
        <w:t>Аннотация</w:t>
      </w:r>
    </w:p>
    <w:p w:rsidR="004B65DF" w:rsidRPr="00DC724C" w:rsidRDefault="004B65DF" w:rsidP="004B65DF">
      <w:pPr>
        <w:jc w:val="center"/>
        <w:rPr>
          <w:b/>
        </w:rPr>
      </w:pPr>
      <w:proofErr w:type="gramStart"/>
      <w:r w:rsidRPr="00DC724C">
        <w:rPr>
          <w:b/>
        </w:rPr>
        <w:t>к</w:t>
      </w:r>
      <w:proofErr w:type="gramEnd"/>
      <w:r w:rsidRPr="00DC724C">
        <w:rPr>
          <w:b/>
        </w:rPr>
        <w:t xml:space="preserve">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4B65DF" w:rsidRPr="00DC724C" w:rsidRDefault="004B65DF" w:rsidP="004B65DF">
      <w:pPr>
        <w:jc w:val="center"/>
        <w:rPr>
          <w:b/>
        </w:rPr>
      </w:pPr>
      <w:r w:rsidRPr="00DC724C">
        <w:rPr>
          <w:b/>
        </w:rPr>
        <w:t>Общее усовершенствование по клинической лабораторной диагностике</w:t>
      </w:r>
    </w:p>
    <w:p w:rsidR="004B65DF" w:rsidRPr="00DC724C" w:rsidRDefault="004B65DF" w:rsidP="004B65DF">
      <w:pPr>
        <w:jc w:val="center"/>
        <w:rPr>
          <w:b/>
        </w:rPr>
      </w:pPr>
    </w:p>
    <w:p w:rsidR="004B65DF" w:rsidRPr="00DC724C" w:rsidRDefault="004B65DF" w:rsidP="004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C">
        <w:rPr>
          <w:rFonts w:ascii="Times New Roman" w:hAnsi="Times New Roman" w:cs="Times New Roman"/>
          <w:b/>
          <w:sz w:val="24"/>
          <w:szCs w:val="24"/>
        </w:rPr>
        <w:t xml:space="preserve">1. Характеристика программы. </w:t>
      </w:r>
      <w:r w:rsidRPr="00DC724C">
        <w:rPr>
          <w:rFonts w:ascii="Times New Roman" w:hAnsi="Times New Roman" w:cs="Times New Roman"/>
          <w:sz w:val="24"/>
          <w:szCs w:val="24"/>
        </w:rPr>
        <w:t>Рабочая программа цикла дополнительного профессионального образования «Общее усовершенствование по клинической лабораторной диагностике»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ФГБОУ ВО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(письмо Департамента медицинского образования и кадровой политики в здравоохранении по вопросам профессиональной деятельности специалистов с высшим медицинским/немедицинским образованием, занимающих должности в клинико-диагностических лабораториях от 17.04.2013 г. №16-5-12/11; приказы Министерства здравоохранения Российской Федерации от 07.10.2015 г. №700н «О номенклатуре специальностей специалистов, имеющих высшее медицинское и фармацевтическое образование», от 08.10.2015 г. №707н «Об утверждении квалификационных требований к медицинским и фармацевтическим работникам с высшим образованием по направлениям подготовки «Здравоохранение и медицинские науки»).</w:t>
      </w:r>
    </w:p>
    <w:p w:rsidR="004B65DF" w:rsidRPr="00DC724C" w:rsidRDefault="004B65DF" w:rsidP="004B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5DF" w:rsidRPr="00DC724C" w:rsidRDefault="004B65DF" w:rsidP="004B65DF">
      <w:pPr>
        <w:jc w:val="both"/>
        <w:rPr>
          <w:b/>
        </w:rPr>
      </w:pPr>
      <w:r w:rsidRPr="00DC724C">
        <w:rPr>
          <w:b/>
        </w:rPr>
        <w:t xml:space="preserve">2. Форма обучения – </w:t>
      </w:r>
      <w:r w:rsidRPr="00DC724C">
        <w:t xml:space="preserve">очная </w:t>
      </w:r>
    </w:p>
    <w:p w:rsidR="004B65DF" w:rsidRPr="00DC724C" w:rsidRDefault="004B65DF" w:rsidP="004B65DF">
      <w:pPr>
        <w:jc w:val="both"/>
        <w:rPr>
          <w:b/>
        </w:rPr>
      </w:pPr>
      <w:r w:rsidRPr="00DC724C">
        <w:rPr>
          <w:b/>
        </w:rPr>
        <w:t xml:space="preserve">3. Общая трудоемкость программы - 4 ЗЕ (144 </w:t>
      </w:r>
      <w:proofErr w:type="spellStart"/>
      <w:r w:rsidRPr="00DC724C">
        <w:rPr>
          <w:b/>
        </w:rPr>
        <w:t>акад.часа</w:t>
      </w:r>
      <w:proofErr w:type="spellEnd"/>
      <w:r w:rsidRPr="00DC724C">
        <w:rPr>
          <w:b/>
        </w:rPr>
        <w:t>)</w:t>
      </w:r>
    </w:p>
    <w:p w:rsidR="004B65DF" w:rsidRPr="00DC724C" w:rsidRDefault="004B65DF" w:rsidP="004B65DF">
      <w:pPr>
        <w:jc w:val="both"/>
        <w:rPr>
          <w:b/>
        </w:rPr>
      </w:pPr>
      <w:r w:rsidRPr="00DC724C">
        <w:rPr>
          <w:b/>
        </w:rPr>
        <w:t>4. Учебный план цикла</w:t>
      </w: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992"/>
        <w:gridCol w:w="992"/>
        <w:gridCol w:w="1276"/>
        <w:gridCol w:w="992"/>
        <w:gridCol w:w="1134"/>
      </w:tblGrid>
      <w:tr w:rsidR="004B65DF" w:rsidRPr="00DC724C" w:rsidTr="00CA5FB4">
        <w:trPr>
          <w:cantSplit/>
          <w:trHeight w:hRule="exact" w:val="287"/>
        </w:trPr>
        <w:tc>
          <w:tcPr>
            <w:tcW w:w="568" w:type="dxa"/>
            <w:vMerge w:val="restart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№</w:t>
            </w:r>
          </w:p>
          <w:p w:rsidR="004B65DF" w:rsidRPr="00DC724C" w:rsidRDefault="004B65DF" w:rsidP="00CA5FB4">
            <w:pPr>
              <w:jc w:val="both"/>
              <w:rPr>
                <w:color w:val="000000" w:themeColor="text1"/>
              </w:rPr>
            </w:pPr>
          </w:p>
          <w:p w:rsidR="004B65DF" w:rsidRPr="00DC724C" w:rsidRDefault="004B65DF" w:rsidP="00CA5F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54" w:lineRule="exact"/>
              <w:ind w:right="53"/>
              <w:jc w:val="both"/>
              <w:rPr>
                <w:color w:val="000000" w:themeColor="text1"/>
                <w:spacing w:val="-11"/>
              </w:rPr>
            </w:pPr>
            <w:r w:rsidRPr="00DC724C">
              <w:rPr>
                <w:color w:val="000000" w:themeColor="text1"/>
                <w:spacing w:val="-12"/>
              </w:rPr>
              <w:t xml:space="preserve">Наименование </w:t>
            </w:r>
          </w:p>
          <w:p w:rsidR="004B65DF" w:rsidRPr="00DC724C" w:rsidRDefault="004B65DF" w:rsidP="00CA5FB4">
            <w:pPr>
              <w:jc w:val="both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</w:rPr>
              <w:t>разделов  и</w:t>
            </w:r>
            <w:proofErr w:type="gramEnd"/>
            <w:r w:rsidRPr="00DC724C">
              <w:rPr>
                <w:color w:val="000000" w:themeColor="text1"/>
              </w:rPr>
              <w:t xml:space="preserve"> дисциплин</w:t>
            </w:r>
          </w:p>
          <w:p w:rsidR="004B65DF" w:rsidRPr="00DC724C" w:rsidRDefault="004B65DF" w:rsidP="00CA5FB4">
            <w:pPr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(</w:t>
            </w:r>
            <w:proofErr w:type="gramStart"/>
            <w:r w:rsidRPr="00DC724C">
              <w:rPr>
                <w:color w:val="000000" w:themeColor="text1"/>
              </w:rPr>
              <w:t>модулей</w:t>
            </w:r>
            <w:proofErr w:type="gramEnd"/>
            <w:r w:rsidRPr="00DC724C">
              <w:rPr>
                <w:color w:val="000000" w:themeColor="text1"/>
              </w:rPr>
              <w:t>)</w:t>
            </w:r>
          </w:p>
          <w:p w:rsidR="004B65DF" w:rsidRPr="00DC724C" w:rsidRDefault="004B65DF" w:rsidP="00CA5FB4">
            <w:pPr>
              <w:jc w:val="both"/>
              <w:rPr>
                <w:color w:val="000000" w:themeColor="text1"/>
                <w:spacing w:val="-11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50" w:lineRule="exact"/>
              <w:ind w:right="144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  <w:spacing w:val="-5"/>
              </w:rPr>
              <w:t xml:space="preserve">Всего </w:t>
            </w:r>
            <w:r w:rsidRPr="00DC724C">
              <w:rPr>
                <w:color w:val="000000" w:themeColor="text1"/>
                <w:spacing w:val="-2"/>
              </w:rPr>
              <w:t>часов</w:t>
            </w:r>
          </w:p>
          <w:p w:rsidR="004B65DF" w:rsidRPr="00DC724C" w:rsidRDefault="004B65DF" w:rsidP="00CA5FB4">
            <w:pPr>
              <w:jc w:val="both"/>
              <w:rPr>
                <w:color w:val="000000" w:themeColor="text1"/>
              </w:rPr>
            </w:pPr>
          </w:p>
          <w:p w:rsidR="004B65DF" w:rsidRPr="00DC724C" w:rsidRDefault="004B65DF" w:rsidP="00CA5F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1147"/>
              <w:jc w:val="both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2"/>
              </w:rPr>
              <w:t>в</w:t>
            </w:r>
            <w:proofErr w:type="gramEnd"/>
            <w:r w:rsidRPr="00DC724C">
              <w:rPr>
                <w:color w:val="000000" w:themeColor="text1"/>
                <w:spacing w:val="-2"/>
              </w:rPr>
              <w:t xml:space="preserve"> том числе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54" w:lineRule="exact"/>
              <w:ind w:right="24" w:firstLine="10"/>
              <w:jc w:val="both"/>
              <w:rPr>
                <w:color w:val="000000" w:themeColor="text1"/>
                <w:spacing w:val="-3"/>
              </w:rPr>
            </w:pPr>
            <w:proofErr w:type="gramStart"/>
            <w:r w:rsidRPr="00DC724C">
              <w:rPr>
                <w:color w:val="000000" w:themeColor="text1"/>
                <w:spacing w:val="-5"/>
              </w:rPr>
              <w:t>форма</w:t>
            </w:r>
            <w:proofErr w:type="gramEnd"/>
            <w:r w:rsidRPr="00DC724C">
              <w:rPr>
                <w:color w:val="000000" w:themeColor="text1"/>
                <w:spacing w:val="-5"/>
              </w:rPr>
              <w:t xml:space="preserve"> </w:t>
            </w:r>
          </w:p>
          <w:p w:rsidR="004B65DF" w:rsidRPr="00DC724C" w:rsidRDefault="004B65DF" w:rsidP="00CA5FB4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</w:rPr>
              <w:t>контроля</w:t>
            </w:r>
            <w:proofErr w:type="gramEnd"/>
          </w:p>
          <w:p w:rsidR="004B65DF" w:rsidRPr="00DC724C" w:rsidRDefault="004B65DF" w:rsidP="00CA5FB4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4B65DF" w:rsidRPr="00DC724C" w:rsidTr="00CA5FB4">
        <w:trPr>
          <w:cantSplit/>
          <w:trHeight w:hRule="exact" w:val="1294"/>
        </w:trPr>
        <w:tc>
          <w:tcPr>
            <w:tcW w:w="568" w:type="dxa"/>
            <w:vMerge/>
            <w:shd w:val="clear" w:color="auto" w:fill="FFFFFF"/>
          </w:tcPr>
          <w:p w:rsidR="004B65DF" w:rsidRPr="00DC724C" w:rsidRDefault="004B65DF" w:rsidP="00CA5F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4B65DF" w:rsidRPr="00DC724C" w:rsidRDefault="004B65DF" w:rsidP="00CA5F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B65DF" w:rsidRPr="00DC724C" w:rsidRDefault="004B65DF" w:rsidP="00CA5F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4"/>
              </w:rPr>
              <w:t>лекции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50" w:lineRule="exact"/>
              <w:ind w:right="72" w:firstLine="5"/>
              <w:jc w:val="both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4"/>
              </w:rPr>
              <w:t>выездные</w:t>
            </w:r>
            <w:proofErr w:type="gramEnd"/>
            <w:r w:rsidRPr="00DC724C">
              <w:rPr>
                <w:color w:val="000000" w:themeColor="text1"/>
                <w:spacing w:val="-4"/>
              </w:rPr>
              <w:t xml:space="preserve"> </w:t>
            </w:r>
            <w:r w:rsidRPr="00DC724C">
              <w:rPr>
                <w:color w:val="000000" w:themeColor="text1"/>
                <w:spacing w:val="-1"/>
              </w:rPr>
              <w:t xml:space="preserve">занятия, </w:t>
            </w:r>
            <w:proofErr w:type="spellStart"/>
            <w:r w:rsidRPr="00DC724C">
              <w:rPr>
                <w:color w:val="000000" w:themeColor="text1"/>
                <w:spacing w:val="-3"/>
              </w:rPr>
              <w:t>стажир</w:t>
            </w:r>
            <w:proofErr w:type="spellEnd"/>
            <w:r w:rsidRPr="00DC724C">
              <w:rPr>
                <w:color w:val="000000" w:themeColor="text1"/>
                <w:spacing w:val="-3"/>
              </w:rPr>
              <w:t xml:space="preserve">., </w:t>
            </w:r>
            <w:r w:rsidRPr="00DC724C">
              <w:rPr>
                <w:color w:val="000000" w:themeColor="text1"/>
                <w:spacing w:val="-1"/>
              </w:rPr>
              <w:t>дел. игры</w:t>
            </w:r>
          </w:p>
        </w:tc>
        <w:tc>
          <w:tcPr>
            <w:tcW w:w="992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DC724C">
              <w:rPr>
                <w:color w:val="000000" w:themeColor="text1"/>
                <w:spacing w:val="-3"/>
              </w:rPr>
              <w:t>практ</w:t>
            </w:r>
            <w:proofErr w:type="spellEnd"/>
            <w:r w:rsidRPr="00DC724C">
              <w:rPr>
                <w:color w:val="000000" w:themeColor="text1"/>
                <w:spacing w:val="-3"/>
              </w:rPr>
              <w:t>.,</w:t>
            </w:r>
            <w:proofErr w:type="gramEnd"/>
            <w:r w:rsidRPr="00DC724C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DC724C">
              <w:rPr>
                <w:color w:val="000000" w:themeColor="text1"/>
                <w:spacing w:val="-3"/>
              </w:rPr>
              <w:t>лабор</w:t>
            </w:r>
            <w:proofErr w:type="spellEnd"/>
            <w:r w:rsidRPr="00DC724C">
              <w:rPr>
                <w:color w:val="000000" w:themeColor="text1"/>
                <w:spacing w:val="-3"/>
              </w:rPr>
              <w:t xml:space="preserve">. </w:t>
            </w:r>
            <w:r w:rsidRPr="00DC724C">
              <w:rPr>
                <w:color w:val="000000" w:themeColor="text1"/>
                <w:spacing w:val="-1"/>
              </w:rPr>
              <w:t xml:space="preserve">занятия, </w:t>
            </w:r>
            <w:r w:rsidRPr="00DC724C">
              <w:rPr>
                <w:color w:val="000000" w:themeColor="text1"/>
                <w:spacing w:val="-4"/>
              </w:rPr>
              <w:t>семинары</w:t>
            </w:r>
          </w:p>
        </w:tc>
        <w:tc>
          <w:tcPr>
            <w:tcW w:w="1134" w:type="dxa"/>
            <w:vMerge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4B65DF" w:rsidRPr="00DC724C" w:rsidTr="00CA5FB4">
        <w:trPr>
          <w:trHeight w:hRule="exact" w:val="277"/>
        </w:trPr>
        <w:tc>
          <w:tcPr>
            <w:tcW w:w="568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245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1637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283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 xml:space="preserve">      4</w:t>
            </w:r>
          </w:p>
        </w:tc>
        <w:tc>
          <w:tcPr>
            <w:tcW w:w="1276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 xml:space="preserve">       5</w:t>
            </w:r>
          </w:p>
        </w:tc>
        <w:tc>
          <w:tcPr>
            <w:tcW w:w="992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 xml:space="preserve">       6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 xml:space="preserve">         7</w:t>
            </w:r>
          </w:p>
        </w:tc>
      </w:tr>
      <w:tr w:rsidR="004B65DF" w:rsidRPr="00DC724C" w:rsidTr="00CA5FB4">
        <w:trPr>
          <w:trHeight w:hRule="exact" w:val="709"/>
        </w:trPr>
        <w:tc>
          <w:tcPr>
            <w:tcW w:w="568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16" w:lineRule="exact"/>
              <w:ind w:right="283" w:firstLine="5"/>
              <w:jc w:val="both"/>
              <w:rPr>
                <w:color w:val="000000" w:themeColor="text1"/>
              </w:rPr>
            </w:pPr>
            <w:r w:rsidRPr="00DC724C">
              <w:rPr>
                <w:b/>
                <w:color w:val="000000" w:themeColor="text1"/>
                <w:spacing w:val="-6"/>
              </w:rPr>
              <w:t xml:space="preserve">Основы здравоохранения. </w:t>
            </w:r>
            <w:r w:rsidRPr="00DC724C">
              <w:rPr>
                <w:b/>
                <w:color w:val="000000" w:themeColor="text1"/>
                <w:spacing w:val="-7"/>
              </w:rPr>
              <w:t>Организация лабораторной службы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</w:p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4B65DF" w:rsidRPr="00DC724C" w:rsidTr="00CA5FB4">
        <w:trPr>
          <w:trHeight w:hRule="exact" w:val="563"/>
        </w:trPr>
        <w:tc>
          <w:tcPr>
            <w:tcW w:w="568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4.</w:t>
            </w:r>
          </w:p>
        </w:tc>
        <w:tc>
          <w:tcPr>
            <w:tcW w:w="3827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Гематологические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4B65DF" w:rsidRPr="00DC724C" w:rsidTr="00CA5FB4">
        <w:trPr>
          <w:trHeight w:hRule="exact" w:val="571"/>
        </w:trPr>
        <w:tc>
          <w:tcPr>
            <w:tcW w:w="568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5.</w:t>
            </w:r>
          </w:p>
        </w:tc>
        <w:tc>
          <w:tcPr>
            <w:tcW w:w="3827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Общеклинические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4B65DF" w:rsidRPr="00DC724C" w:rsidTr="00CA5FB4">
        <w:trPr>
          <w:trHeight w:hRule="exact" w:val="423"/>
        </w:trPr>
        <w:tc>
          <w:tcPr>
            <w:tcW w:w="568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6.</w:t>
            </w:r>
          </w:p>
        </w:tc>
        <w:tc>
          <w:tcPr>
            <w:tcW w:w="3827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 xml:space="preserve">Цитологические исследования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4B65DF" w:rsidRPr="00DC724C" w:rsidTr="00CA5FB4">
        <w:trPr>
          <w:trHeight w:hRule="exact" w:val="557"/>
        </w:trPr>
        <w:tc>
          <w:tcPr>
            <w:tcW w:w="568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7.</w:t>
            </w:r>
          </w:p>
        </w:tc>
        <w:tc>
          <w:tcPr>
            <w:tcW w:w="3827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Биохимические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4B65DF" w:rsidRPr="00DC724C" w:rsidTr="00CA5FB4">
        <w:trPr>
          <w:trHeight w:hRule="exact" w:val="707"/>
        </w:trPr>
        <w:tc>
          <w:tcPr>
            <w:tcW w:w="568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8.</w:t>
            </w:r>
          </w:p>
        </w:tc>
        <w:tc>
          <w:tcPr>
            <w:tcW w:w="3827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Лабораторные исследования системы гемостаза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4B65DF" w:rsidRPr="00DC724C" w:rsidTr="00CA5FB4">
        <w:trPr>
          <w:trHeight w:val="541"/>
        </w:trPr>
        <w:tc>
          <w:tcPr>
            <w:tcW w:w="568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9.</w:t>
            </w:r>
          </w:p>
        </w:tc>
        <w:tc>
          <w:tcPr>
            <w:tcW w:w="3827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Иммунологические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4B65DF" w:rsidRPr="00DC724C" w:rsidTr="00CA5FB4">
        <w:trPr>
          <w:trHeight w:val="421"/>
        </w:trPr>
        <w:tc>
          <w:tcPr>
            <w:tcW w:w="568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10.</w:t>
            </w:r>
          </w:p>
        </w:tc>
        <w:tc>
          <w:tcPr>
            <w:tcW w:w="3827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Медико-генетические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4B65DF" w:rsidRPr="00DC724C" w:rsidTr="00CA5FB4">
        <w:trPr>
          <w:trHeight w:val="569"/>
        </w:trPr>
        <w:tc>
          <w:tcPr>
            <w:tcW w:w="568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lastRenderedPageBreak/>
              <w:t>11.</w:t>
            </w:r>
          </w:p>
        </w:tc>
        <w:tc>
          <w:tcPr>
            <w:tcW w:w="3827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Лабораторная диагностика кожных и венерических заболеваний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4B65DF" w:rsidRPr="00DC724C" w:rsidTr="00CA5FB4">
        <w:trPr>
          <w:trHeight w:val="549"/>
        </w:trPr>
        <w:tc>
          <w:tcPr>
            <w:tcW w:w="568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12.</w:t>
            </w:r>
          </w:p>
        </w:tc>
        <w:tc>
          <w:tcPr>
            <w:tcW w:w="3827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Лабораторная диагностика паразитарных болезней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4B65DF" w:rsidRPr="00DC724C" w:rsidTr="00CA5FB4">
        <w:trPr>
          <w:trHeight w:val="461"/>
        </w:trPr>
        <w:tc>
          <w:tcPr>
            <w:tcW w:w="4395" w:type="dxa"/>
            <w:gridSpan w:val="2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  <w:spacing w:val="-8"/>
              </w:rPr>
              <w:t>Итоговый контроль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  <w:r w:rsidRPr="00DC724C">
              <w:rPr>
                <w:color w:val="000000" w:themeColor="text1"/>
                <w:spacing w:val="-6"/>
              </w:rPr>
              <w:t xml:space="preserve">     </w:t>
            </w:r>
          </w:p>
        </w:tc>
      </w:tr>
      <w:tr w:rsidR="004B65DF" w:rsidRPr="00DC724C" w:rsidTr="00CA5FB4">
        <w:trPr>
          <w:trHeight w:val="341"/>
        </w:trPr>
        <w:tc>
          <w:tcPr>
            <w:tcW w:w="4395" w:type="dxa"/>
            <w:gridSpan w:val="2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  <w:spacing w:val="-8"/>
              </w:rPr>
            </w:pPr>
            <w:r w:rsidRPr="00DC724C">
              <w:rPr>
                <w:b/>
                <w:color w:val="000000" w:themeColor="text1"/>
                <w:spacing w:val="-8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54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</w:p>
        </w:tc>
      </w:tr>
      <w:tr w:rsidR="004B65DF" w:rsidRPr="00DC724C" w:rsidTr="00CA5FB4">
        <w:trPr>
          <w:trHeight w:val="415"/>
        </w:trPr>
        <w:tc>
          <w:tcPr>
            <w:tcW w:w="4395" w:type="dxa"/>
            <w:gridSpan w:val="2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По дополнительным дисциплинам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ind w:left="216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 xml:space="preserve">   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  <w:r w:rsidRPr="00DC724C">
              <w:rPr>
                <w:color w:val="000000" w:themeColor="text1"/>
                <w:spacing w:val="-6"/>
              </w:rPr>
              <w:t xml:space="preserve">    </w:t>
            </w:r>
          </w:p>
        </w:tc>
      </w:tr>
      <w:tr w:rsidR="004B65DF" w:rsidRPr="00DC724C" w:rsidTr="00CA5FB4">
        <w:trPr>
          <w:trHeight w:val="420"/>
        </w:trPr>
        <w:tc>
          <w:tcPr>
            <w:tcW w:w="4395" w:type="dxa"/>
            <w:gridSpan w:val="2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ind w:left="216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144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5DF" w:rsidRPr="00DC724C" w:rsidRDefault="004B65DF" w:rsidP="00CA5FB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FFFFFF"/>
          </w:tcPr>
          <w:p w:rsidR="004B65DF" w:rsidRPr="00DC724C" w:rsidRDefault="004B65DF" w:rsidP="00CA5FB4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</w:p>
        </w:tc>
      </w:tr>
    </w:tbl>
    <w:p w:rsidR="004B65DF" w:rsidRPr="00DC724C" w:rsidRDefault="004B65DF" w:rsidP="004B65DF">
      <w:pPr>
        <w:jc w:val="both"/>
        <w:rPr>
          <w:b/>
        </w:rPr>
      </w:pPr>
    </w:p>
    <w:p w:rsidR="004B65DF" w:rsidRPr="00DC724C" w:rsidRDefault="004B65DF" w:rsidP="004B65DF">
      <w:pPr>
        <w:jc w:val="both"/>
        <w:rPr>
          <w:b/>
        </w:rPr>
      </w:pPr>
      <w:r w:rsidRPr="00DC724C">
        <w:rPr>
          <w:b/>
        </w:rPr>
        <w:t>5. Перечень формируемых компетенций:</w:t>
      </w:r>
    </w:p>
    <w:p w:rsidR="004B65DF" w:rsidRPr="00DC724C" w:rsidRDefault="004B65DF" w:rsidP="004B65DF">
      <w:pPr>
        <w:ind w:firstLine="709"/>
        <w:jc w:val="both"/>
      </w:pPr>
      <w:r w:rsidRPr="00DC724C">
        <w:rPr>
          <w:b/>
        </w:rPr>
        <w:t>Общекультурные компетенции (ОК)</w:t>
      </w:r>
      <w:r w:rsidRPr="00DC724C">
        <w:t xml:space="preserve"> характеризуются: 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по клинической лабораторной диагностике; 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содержания по клинической лабораторной диагностике, осуществлению воспитательной и педагогической деятельности, сотрудничеству и разрешению конфликтов, к толерантности;  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клинической лабораторной диагностике; 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 </w:t>
      </w:r>
    </w:p>
    <w:p w:rsidR="004B65DF" w:rsidRPr="00DC724C" w:rsidRDefault="004B65DF" w:rsidP="004B65DF">
      <w:pPr>
        <w:ind w:firstLine="709"/>
        <w:jc w:val="both"/>
        <w:rPr>
          <w:b/>
        </w:rPr>
      </w:pPr>
      <w:r w:rsidRPr="00DC724C">
        <w:rPr>
          <w:b/>
        </w:rPr>
        <w:t xml:space="preserve">Профессиональные компетенции (ПК) </w:t>
      </w:r>
      <w:r w:rsidRPr="00DC724C">
        <w:t>характеризуются:</w:t>
      </w:r>
      <w:r w:rsidRPr="00DC724C">
        <w:rPr>
          <w:b/>
        </w:rPr>
        <w:t xml:space="preserve"> </w:t>
      </w:r>
    </w:p>
    <w:p w:rsidR="004B65DF" w:rsidRPr="00DC724C" w:rsidRDefault="004B65DF" w:rsidP="004B65DF">
      <w:pPr>
        <w:ind w:firstLine="709"/>
        <w:jc w:val="both"/>
      </w:pPr>
      <w:proofErr w:type="gramStart"/>
      <w:r w:rsidRPr="00DC724C">
        <w:t>в</w:t>
      </w:r>
      <w:proofErr w:type="gramEnd"/>
      <w:r w:rsidRPr="00DC724C">
        <w:t xml:space="preserve"> диагностической деятельности: </w:t>
      </w:r>
    </w:p>
    <w:p w:rsidR="004B65DF" w:rsidRPr="00DC724C" w:rsidRDefault="004B65DF" w:rsidP="004B65DF">
      <w:pPr>
        <w:ind w:firstLine="709"/>
        <w:jc w:val="both"/>
      </w:pPr>
      <w:r w:rsidRPr="00DC724C">
        <w:t xml:space="preserve"> способностью и готовностью к выполнению лабораторных исследований 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по лабораторному обследованию с учетом Международной статистической классификации заболеваний и проблем, связанных со здоровьем (МКБ), международных патоморфологических классификаций, выполнять основные лабораторные исследования мероприятия по выявлению неотложных и угрожающих жизни состояний; </w:t>
      </w:r>
    </w:p>
    <w:p w:rsidR="004B65DF" w:rsidRPr="00DC724C" w:rsidRDefault="004B65DF" w:rsidP="004B65DF">
      <w:pPr>
        <w:ind w:firstLine="709"/>
        <w:jc w:val="both"/>
      </w:pPr>
      <w:proofErr w:type="gramStart"/>
      <w:r w:rsidRPr="00DC724C">
        <w:t>в</w:t>
      </w:r>
      <w:proofErr w:type="gramEnd"/>
      <w:r w:rsidRPr="00DC724C">
        <w:t xml:space="preserve"> лечебной деятельности: </w:t>
      </w:r>
    </w:p>
    <w:p w:rsidR="004B65DF" w:rsidRPr="00DC724C" w:rsidRDefault="004B65DF" w:rsidP="004B65DF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выполнять клинические лабораторные исследования по оценке безопасности фармакотерапии, основных лечебных мероприятий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</w:t>
      </w:r>
      <w:r w:rsidRPr="00DC724C">
        <w:lastRenderedPageBreak/>
        <w:t xml:space="preserve">сердечнососудистой, эндокринной, дыхательной, пищеварительной, мочеполовой систем и крови), выявлять признаки жизнеугрожающих нарушений по результатам лабораторных исследований; </w:t>
      </w:r>
    </w:p>
    <w:p w:rsidR="004B65DF" w:rsidRPr="00DC724C" w:rsidRDefault="004B65DF" w:rsidP="004B65DF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рекомендовать клиническим специалистам лабораторные исследования для оценки адекватности фармакотерапии, эффективности лечения больных с инфекционными и неинфекционными заболеваниями, состояния организма матери и плода при протекании беременности; </w:t>
      </w:r>
    </w:p>
    <w:p w:rsidR="004B65DF" w:rsidRPr="00DC724C" w:rsidRDefault="004B65DF" w:rsidP="004B65DF">
      <w:pPr>
        <w:ind w:firstLine="709"/>
        <w:jc w:val="both"/>
      </w:pPr>
      <w:proofErr w:type="gramStart"/>
      <w:r w:rsidRPr="00DC724C">
        <w:t>в</w:t>
      </w:r>
      <w:proofErr w:type="gramEnd"/>
      <w:r w:rsidRPr="00DC724C">
        <w:t xml:space="preserve"> реабилитационной деятельности: </w:t>
      </w:r>
    </w:p>
    <w:p w:rsidR="004B65DF" w:rsidRPr="00DC724C" w:rsidRDefault="004B65DF" w:rsidP="004B65DF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выполнять клинические лабораторные исследования, для оценки состояния организма пациентов при различных реабилитационных мероприятиях (медицинские, социальные, психологические) при наиболее распространенных патологических состояниях и повреждениях организма; </w:t>
      </w:r>
    </w:p>
    <w:p w:rsidR="004B65DF" w:rsidRPr="00DC724C" w:rsidRDefault="004B65DF" w:rsidP="004B65DF">
      <w:pPr>
        <w:ind w:firstLine="709"/>
        <w:jc w:val="both"/>
      </w:pPr>
      <w:proofErr w:type="gramStart"/>
      <w:r w:rsidRPr="00DC724C">
        <w:t>в</w:t>
      </w:r>
      <w:proofErr w:type="gramEnd"/>
      <w:r w:rsidRPr="00DC724C">
        <w:t xml:space="preserve"> профилактической деятельности: </w:t>
      </w:r>
    </w:p>
    <w:p w:rsidR="004B65DF" w:rsidRPr="00DC724C" w:rsidRDefault="004B65DF" w:rsidP="004B65DF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выполнять клинические лабораторные исследования, направленные на выявление риска развития заболеваний;  способностью и готовностью осуществлять мероприятия по предупреждению распространения инфекционных и паразитарных заболеваний, соблюдать санитарные нормы и правила при работе с биологическим материалом; </w:t>
      </w:r>
    </w:p>
    <w:p w:rsidR="004B65DF" w:rsidRPr="00DC724C" w:rsidRDefault="004B65DF" w:rsidP="004B65DF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проводить санитарно-просветительскую работу по вопросам профилактики инфекционных и неинфекционных заболеваний; </w:t>
      </w:r>
    </w:p>
    <w:p w:rsidR="004B65DF" w:rsidRPr="00DC724C" w:rsidRDefault="004B65DF" w:rsidP="004B65DF">
      <w:pPr>
        <w:ind w:firstLine="709"/>
        <w:jc w:val="both"/>
      </w:pPr>
      <w:proofErr w:type="gramStart"/>
      <w:r w:rsidRPr="00DC724C">
        <w:t>в</w:t>
      </w:r>
      <w:proofErr w:type="gramEnd"/>
      <w:r w:rsidRPr="00DC724C">
        <w:t xml:space="preserve"> организационно-управленческой деятельности: </w:t>
      </w:r>
    </w:p>
    <w:p w:rsidR="004B65DF" w:rsidRPr="00DC724C" w:rsidRDefault="004B65DF" w:rsidP="004B65DF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оказанию услуг по клинической лабораторной диагностике; </w:t>
      </w:r>
    </w:p>
    <w:p w:rsidR="004B65DF" w:rsidRPr="00DC724C" w:rsidRDefault="004B65DF" w:rsidP="004B65DF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использовать знания организационной структуры лабораторной службы,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лабораторий, проводить оценку эффективности современных медико-организационных и социально-экономических технологий при оказании медицинских услуг по клинической лабораторной диагностике. </w:t>
      </w:r>
    </w:p>
    <w:p w:rsidR="004B65DF" w:rsidRPr="00DC724C" w:rsidRDefault="004B65DF" w:rsidP="004B65DF">
      <w:pPr>
        <w:ind w:firstLine="709"/>
        <w:jc w:val="both"/>
      </w:pPr>
    </w:p>
    <w:p w:rsidR="004B65DF" w:rsidRPr="00DC724C" w:rsidRDefault="004B65DF" w:rsidP="004B65DF">
      <w:pPr>
        <w:pStyle w:val="FR1"/>
        <w:rPr>
          <w:b/>
        </w:rPr>
      </w:pPr>
      <w:r w:rsidRPr="00DC724C">
        <w:rPr>
          <w:b/>
        </w:rPr>
        <w:t xml:space="preserve">6. Форма аттестации </w:t>
      </w:r>
      <w:r w:rsidRPr="00DC724C">
        <w:t>–</w:t>
      </w:r>
      <w:r w:rsidRPr="00DC724C">
        <w:rPr>
          <w:b/>
        </w:rPr>
        <w:t xml:space="preserve"> </w:t>
      </w:r>
      <w:r w:rsidRPr="00DC724C">
        <w:t>экзамен</w:t>
      </w:r>
    </w:p>
    <w:p w:rsidR="004B65DF" w:rsidRPr="00DC724C" w:rsidRDefault="004B65DF" w:rsidP="004B65DF">
      <w:pPr>
        <w:pStyle w:val="FR1"/>
        <w:rPr>
          <w:b/>
        </w:rPr>
      </w:pPr>
    </w:p>
    <w:p w:rsidR="004B65DF" w:rsidRPr="00DC724C" w:rsidRDefault="004B65DF" w:rsidP="004B65DF">
      <w:pPr>
        <w:pStyle w:val="FR1"/>
        <w:rPr>
          <w:b/>
        </w:rPr>
      </w:pPr>
    </w:p>
    <w:p w:rsidR="004B65DF" w:rsidRPr="00DC724C" w:rsidRDefault="004B65DF" w:rsidP="004B65DF">
      <w:pPr>
        <w:pStyle w:val="FR1"/>
        <w:rPr>
          <w:b/>
        </w:rPr>
      </w:pPr>
    </w:p>
    <w:p w:rsidR="007502EE" w:rsidRDefault="007502EE">
      <w:bookmarkStart w:id="0" w:name="_GoBack"/>
      <w:bookmarkEnd w:id="0"/>
    </w:p>
    <w:sectPr w:rsidR="0075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8"/>
    <w:rsid w:val="00381D08"/>
    <w:rsid w:val="004B65DF"/>
    <w:rsid w:val="007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9BB9-75F6-4D46-87BF-1963226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B65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B6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2018-05-03T05:28:00Z</dcterms:created>
  <dcterms:modified xsi:type="dcterms:W3CDTF">2018-05-03T05:28:00Z</dcterms:modified>
</cp:coreProperties>
</file>