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FB" w:rsidRPr="00723AFB" w:rsidRDefault="00723AFB" w:rsidP="00723AFB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Комплексная оценка здоровья.</w:t>
      </w: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Организация профилактических осмотров. Стандарты профилактической помощи. Этапная система диспансеризации. Диспансерное наблюдение за здоровыми детьми и группами риска.</w:t>
      </w:r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Организация питания детей на педиатрическом участке.</w:t>
      </w:r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Организация лечебно-профилактической помощи новорожденным, о</w:t>
      </w: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собенности наблюдения за  недоношенным ребенком  в условиях детской поликлиники. </w:t>
      </w:r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Специфическая профилактика инфекционных заболеваний у детей в условиях детской поликлиники.</w:t>
      </w:r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Организация лечебно-профилактической помощи при патологии органов дыхания на дому и условиях поликлиники. Лечение на дому. Реабилитация больных с патологией органов дыхания и принципы диспансеризации.</w:t>
      </w: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>Диспансерное наблюдение детей раннего возраста. Профилактика расстройств питания и гиповитаминозов.</w:t>
      </w:r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Медицинское обеспечение учащихся в образовательных учреждениях. Формирование </w:t>
      </w:r>
      <w:proofErr w:type="spellStart"/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психофункциональной</w:t>
      </w:r>
      <w:proofErr w:type="spellEnd"/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готовности детей к поступлению в школу.  Врачебный контроль при подготовке детей к поступлению в дошкольное учреждение, в период адаптации. </w:t>
      </w:r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>Роль врача-педиатра в охране психического здоровья детей в образовательных учреждениях</w:t>
      </w:r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Профилактическая и оздоровительная работа с группой часто болеющих детей. </w:t>
      </w:r>
    </w:p>
    <w:p w:rsidR="00723AFB" w:rsidRPr="00723AFB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Ранняя диагностика, лечение, профилактика, диспансерное наблюдение и реабилитация детей </w:t>
      </w:r>
    </w:p>
    <w:p w:rsidR="00723AFB" w:rsidRPr="00723AFB" w:rsidRDefault="00723AFB" w:rsidP="00723AFB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болезнями почек и мочевыводящей системы,  </w:t>
      </w:r>
    </w:p>
    <w:p w:rsidR="00723AFB" w:rsidRPr="00723AFB" w:rsidRDefault="00723AFB" w:rsidP="00723AFB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заболеваниями желудочно-кишечного тракта,</w:t>
      </w:r>
    </w:p>
    <w:p w:rsidR="00723AFB" w:rsidRPr="00723AFB" w:rsidRDefault="00723AFB" w:rsidP="00723AFB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сердечно-сосудистой</w:t>
      </w:r>
      <w:proofErr w:type="gramEnd"/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системы, </w:t>
      </w:r>
    </w:p>
    <w:p w:rsidR="00723AFB" w:rsidRPr="00723AFB" w:rsidRDefault="00723AFB" w:rsidP="00723AFB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эндокринной патологией.</w:t>
      </w:r>
    </w:p>
    <w:p w:rsidR="00723AFB" w:rsidRPr="009D18BC" w:rsidRDefault="00723AFB" w:rsidP="00723AF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Медико-социальные</w:t>
      </w:r>
      <w:proofErr w:type="gramEnd"/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аспекты охраны здоровья детей подросткового возраста. Военн</w:t>
      </w:r>
      <w:proofErr w:type="gramStart"/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>о-</w:t>
      </w:r>
      <w:proofErr w:type="gramEnd"/>
      <w:r w:rsidRPr="00723A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врачебная экспертиза и врачебно-профессиональное консультирование.</w:t>
      </w:r>
    </w:p>
    <w:p w:rsidR="009D18BC" w:rsidRPr="009D18BC" w:rsidRDefault="009D18BC" w:rsidP="009D18BC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Бронхиты у детей: эпидемиология, этиологические факторы, современная классификация. Клиника </w:t>
      </w: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обструктивного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бронхита, дифференциальная диагностика с бронхиальной астмой. Лечение. Показания для назначения антибактериальной терапии.</w:t>
      </w:r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Бронхо-</w:t>
      </w: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обструктивный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синдром. Классификация. Этиология и патогенез. Дифференциальная диагностика. Неотложная помощь при крупе.</w:t>
      </w:r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Внебольничная пневмония: определение, эпидемиология, этиология, классификация, клинико-диагностические критерии, дифференциальная диагностика, лечение, наблюдение.</w:t>
      </w:r>
      <w:proofErr w:type="gramEnd"/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Бронхиальная астма: определение, современные аспекты патогенеза, факторы риска БА, классификация, диагностика, функциональная диагностика, дифференциальный диагноз.</w:t>
      </w:r>
      <w:proofErr w:type="gramEnd"/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методы терапии бронхиальной астмы, понятие базисной терапии, контролирующие препараты в лечении БА. Контроль бронхиальной астмы</w:t>
      </w:r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Аллергический ринит, классификация, клинико-диагностические критерии, дифференциальный диагноз, лечение, наблюдение в условиях поликлиники.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Муковисцидоз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Определение, </w:t>
      </w: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этиопатогенез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заболевания, клинико-диагностические критерии, диагностика, лечение, диспансерное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Пороки органов дыхания у детей, группировка, клинико-0диагностические критерии, дифференциальная диагностики, лечение, обоснование хирургического лечение, диспансерное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Анатомо-физиологические особенности </w:t>
      </w:r>
      <w:proofErr w:type="gram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у детей и подростков.</w:t>
      </w:r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Семиотика заболеваний </w:t>
      </w:r>
      <w:proofErr w:type="gram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у детей.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Артериальная гипертензия. Факторы риска угрожающих событий. Клинико-диагностические критерии. Дифференциальный диагноз, лечение,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Миокардиты у детей. Современные аспекты этиологии и патогенеза, клинико-диагностические критерии, дифференциальный диагноз, лечение и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Малые аномалии развития сердца (пролапс митрального клапана, открытое овальное окно, двухстворчатый аортальный клапан, дополнительная хорда). Клинико-диагностические критерии, прогностическая значимость,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Врожденные пороки сердца, группировка, клинико-диагностические критерии пороков, сроки оперативного вмешательства. Наблюдения на участке.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Аритмии у детей: формы, клинико-инструментальная диагностика, лечение,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Ревматическая лихорадка. Клинико-диагностические критерии поражения оболочек сердца. Классификация. Дифференциальный диагноз, лечение и вторичная профилактика.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Системные поражения соединительной ткани (СКВ, склеродермия). Клинико-диагностические критерии, механизмы возникновения, дифференциальный диагноз, лечение.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Системные </w:t>
      </w: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васкулиты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Ювенильный </w:t>
      </w: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полиартериит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Синдром Кавасаки. Клинико-диагностические критерии, дифференциальный диагноз, лечение,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Дифференциальный диагноз заболеваний, сопровождающихся повышенной кровоточивостью.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Анемии у детей. Группировка, критерии тяжести, клинико-диагностические критерии, дифференциальный диагноз, лечение профилактика.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Лимфоаденопатии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: определение, классификация, клинико-диагностические критерии, тактика наблюдения.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Функциональные заболевания желудочно-кишечного тракта у детей, группировка, клинико-диагностические критерии, дифференциальный диагноз, лечение,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Кислото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-зависимые заболевания желудка. Нозология, клинико-диагностические критерии, лечение, профилактика,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Дисфункция </w:t>
      </w: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билиарного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тракта. Определение. Классификация, клинико-лабораторная диагностика, лечение, профилактика.</w:t>
      </w:r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Семиотика заболеваний желудочно-кишечного тракта у детей.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Запоры у детей. Группировка, клинико-диагностические критерии, лечение, наблюдение на педиатрическом участке.</w:t>
      </w:r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Семиотика заболеваний почек у детей.</w:t>
      </w:r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Мочевой синдром, структура, диагностическая значимость.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Инфекционно-воспалительные заболевания мочевыводящей системы у детей, структура, клинико-диагностические критерии, лечение,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Дисметаболические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 почек, классификация. Клинико-диагностические критерии, лечение,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Нефриты у детей, группировка, клинико-лабораторные критерии, дифференциальная диагностика, диагностика. Лечение, наблюдение.</w:t>
      </w:r>
    </w:p>
    <w:p w:rsidR="009D18BC" w:rsidRPr="009D18BC" w:rsidRDefault="009D18BC" w:rsidP="009D18BC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и развитие ребенка. Оценка, отклонения в развитии,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Атопический</w:t>
      </w:r>
      <w:proofErr w:type="spellEnd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дерматит. Определение понятия. Классификация, клинико-диагностические критерии, оценка тяжести, общие принципы лечения, наружная терапия.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Рахит и гиповитаминозы у детей. Определение понятий, клинико-диагностические критерии, дифференциальный диагноз, лечение и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Хронические расстройства питания, определение понятия, классификация, диетотерапия, общие принципы лечения.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Поражения центральной нервной системы гипоксического и травматического генеза у новорожденных. Группировка, клинико-диагностические критерии, дифференциальный диагноз, лечение,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Желтухи новорожденных, группировка, критерии диагностики, дифференциальная диагностика, лечение, наблюдение.</w:t>
      </w:r>
    </w:p>
    <w:p w:rsidR="009D18BC" w:rsidRPr="009D18BC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Бронхолегочная дисплазия, современная классификация, критерии тяжести клинические и рентгенологические, клиника, дифференциальная диагностика, осложнения, лечение на этапах выхаживания, наблюдение в условиях детской поликлиники.</w:t>
      </w:r>
    </w:p>
    <w:p w:rsidR="00BF198D" w:rsidRPr="001A127E" w:rsidRDefault="009D18BC" w:rsidP="001A127E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18B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Внутриутробные инфекции новорожденных, классификация, клинико-диагностические критерии, диагностика, дифференциальная диагностика, лечение, наблюдение.</w:t>
      </w:r>
      <w:proofErr w:type="gramEnd"/>
    </w:p>
    <w:p w:rsidR="00BF198D" w:rsidRPr="001A127E" w:rsidRDefault="00BF198D" w:rsidP="00895E64">
      <w:pPr>
        <w:pStyle w:val="a3"/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27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Заболевания пищевода у детей: эзофагиты, </w:t>
      </w:r>
      <w:proofErr w:type="spellStart"/>
      <w:r w:rsidRPr="001A127E">
        <w:rPr>
          <w:rFonts w:ascii="Times New Roman" w:eastAsia="Calibri" w:hAnsi="Times New Roman" w:cs="Times New Roman"/>
          <w:sz w:val="28"/>
          <w:szCs w:val="28"/>
        </w:rPr>
        <w:t>гастроэзофагеальная</w:t>
      </w:r>
      <w:proofErr w:type="spellEnd"/>
      <w:r w:rsidRPr="001A12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127E">
        <w:rPr>
          <w:rFonts w:ascii="Times New Roman" w:eastAsia="Calibri" w:hAnsi="Times New Roman" w:cs="Times New Roman"/>
          <w:sz w:val="28"/>
          <w:szCs w:val="28"/>
        </w:rPr>
        <w:t>рефлюксная</w:t>
      </w:r>
      <w:proofErr w:type="spellEnd"/>
      <w:r w:rsidRPr="001A127E">
        <w:rPr>
          <w:rFonts w:ascii="Times New Roman" w:eastAsia="Calibri" w:hAnsi="Times New Roman" w:cs="Times New Roman"/>
          <w:sz w:val="28"/>
          <w:szCs w:val="28"/>
        </w:rPr>
        <w:t xml:space="preserve"> болезнь. </w:t>
      </w:r>
      <w:proofErr w:type="spellStart"/>
      <w:r w:rsidRPr="001A127E">
        <w:rPr>
          <w:rFonts w:ascii="Times New Roman" w:eastAsia="Calibri" w:hAnsi="Times New Roman" w:cs="Times New Roman"/>
          <w:sz w:val="28"/>
          <w:szCs w:val="28"/>
        </w:rPr>
        <w:t>Этиопатогенез</w:t>
      </w:r>
      <w:proofErr w:type="spellEnd"/>
      <w:r w:rsidRPr="001A127E">
        <w:rPr>
          <w:rFonts w:ascii="Times New Roman" w:eastAsia="Calibri" w:hAnsi="Times New Roman" w:cs="Times New Roman"/>
          <w:sz w:val="28"/>
          <w:szCs w:val="28"/>
        </w:rPr>
        <w:t>, клиника, диагностика, принципы терапии.</w:t>
      </w:r>
    </w:p>
    <w:p w:rsidR="00BF198D" w:rsidRPr="00895E64" w:rsidRDefault="00BF198D" w:rsidP="00895E64">
      <w:pPr>
        <w:pStyle w:val="a3"/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E64">
        <w:rPr>
          <w:rFonts w:ascii="Times New Roman" w:eastAsia="Calibri" w:hAnsi="Times New Roman" w:cs="Times New Roman"/>
          <w:sz w:val="28"/>
          <w:szCs w:val="28"/>
        </w:rPr>
        <w:t>Заболевания желудка и двенадцатиперстной кишки у детей: классификация, этиология, предрасполагающие факторы,  патогенетические механизмы, клиника, принципы дифференциальной диагностики, лечение.</w:t>
      </w:r>
    </w:p>
    <w:p w:rsidR="00BF198D" w:rsidRPr="00895E64" w:rsidRDefault="00BF198D" w:rsidP="00895E64">
      <w:pPr>
        <w:pStyle w:val="a3"/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E64">
        <w:rPr>
          <w:rFonts w:ascii="Times New Roman" w:eastAsia="Calibri" w:hAnsi="Times New Roman" w:cs="Times New Roman"/>
          <w:sz w:val="28"/>
          <w:szCs w:val="28"/>
        </w:rPr>
        <w:t>Функциональные, обменные и воспалительные заболевания желчевыводящих путей: патогенез, клиника, дифференциальная диагностика, лечение, профилактика.</w:t>
      </w:r>
    </w:p>
    <w:p w:rsidR="00BF198D" w:rsidRPr="00895E64" w:rsidRDefault="00BF198D" w:rsidP="00895E64">
      <w:pPr>
        <w:pStyle w:val="a3"/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E64">
        <w:rPr>
          <w:rFonts w:ascii="Times New Roman" w:eastAsia="Calibri" w:hAnsi="Times New Roman" w:cs="Times New Roman"/>
          <w:sz w:val="28"/>
          <w:szCs w:val="28"/>
        </w:rPr>
        <w:t xml:space="preserve">Хронические гепатиты у детей: </w:t>
      </w:r>
      <w:proofErr w:type="spellStart"/>
      <w:r w:rsidRPr="00895E64">
        <w:rPr>
          <w:rFonts w:ascii="Times New Roman" w:eastAsia="Calibri" w:hAnsi="Times New Roman" w:cs="Times New Roman"/>
          <w:sz w:val="28"/>
          <w:szCs w:val="28"/>
        </w:rPr>
        <w:t>этиопатогенез</w:t>
      </w:r>
      <w:proofErr w:type="spellEnd"/>
      <w:r w:rsidRPr="00895E64">
        <w:rPr>
          <w:rFonts w:ascii="Times New Roman" w:eastAsia="Calibri" w:hAnsi="Times New Roman" w:cs="Times New Roman"/>
          <w:sz w:val="28"/>
          <w:szCs w:val="28"/>
        </w:rPr>
        <w:t>, классификация, клиника, диагностика, лечение. Диспансерное наблюдение.</w:t>
      </w:r>
    </w:p>
    <w:p w:rsidR="00BF198D" w:rsidRPr="00895E64" w:rsidRDefault="00BF198D" w:rsidP="00895E64">
      <w:pPr>
        <w:pStyle w:val="a3"/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E64">
        <w:rPr>
          <w:rFonts w:ascii="Times New Roman" w:eastAsia="Calibri" w:hAnsi="Times New Roman" w:cs="Times New Roman"/>
          <w:sz w:val="28"/>
          <w:szCs w:val="28"/>
        </w:rPr>
        <w:t xml:space="preserve">Функциональные и органические поражения поджелудочной железы. Острый и хронический панкреатит: классификация, </w:t>
      </w:r>
      <w:proofErr w:type="spellStart"/>
      <w:r w:rsidRPr="00895E64">
        <w:rPr>
          <w:rFonts w:ascii="Times New Roman" w:eastAsia="Calibri" w:hAnsi="Times New Roman" w:cs="Times New Roman"/>
          <w:sz w:val="28"/>
          <w:szCs w:val="28"/>
        </w:rPr>
        <w:t>этиопатогенез</w:t>
      </w:r>
      <w:proofErr w:type="spellEnd"/>
      <w:r w:rsidRPr="00895E64">
        <w:rPr>
          <w:rFonts w:ascii="Times New Roman" w:eastAsia="Calibri" w:hAnsi="Times New Roman" w:cs="Times New Roman"/>
          <w:sz w:val="28"/>
          <w:szCs w:val="28"/>
        </w:rPr>
        <w:t>, клиника, диагностика и дифференциальная диагностика, лечение. Диспансерное наблюдение, реабилитация.</w:t>
      </w:r>
    </w:p>
    <w:p w:rsidR="00BF198D" w:rsidRPr="00895E64" w:rsidRDefault="00BF198D" w:rsidP="00895E64">
      <w:pPr>
        <w:pStyle w:val="a3"/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E64">
        <w:rPr>
          <w:rFonts w:ascii="Times New Roman" w:eastAsia="Calibri" w:hAnsi="Times New Roman" w:cs="Times New Roman"/>
          <w:sz w:val="28"/>
          <w:szCs w:val="28"/>
        </w:rPr>
        <w:t xml:space="preserve">Синдром </w:t>
      </w:r>
      <w:proofErr w:type="spellStart"/>
      <w:r w:rsidRPr="00895E64">
        <w:rPr>
          <w:rFonts w:ascii="Times New Roman" w:eastAsia="Calibri" w:hAnsi="Times New Roman" w:cs="Times New Roman"/>
          <w:sz w:val="28"/>
          <w:szCs w:val="28"/>
        </w:rPr>
        <w:t>мальабсорбции</w:t>
      </w:r>
      <w:proofErr w:type="spellEnd"/>
      <w:r w:rsidRPr="00895E64">
        <w:rPr>
          <w:rFonts w:ascii="Times New Roman" w:eastAsia="Calibri" w:hAnsi="Times New Roman" w:cs="Times New Roman"/>
          <w:sz w:val="28"/>
          <w:szCs w:val="28"/>
        </w:rPr>
        <w:t>: классификация, клиника, диагностика, принципы диетотерапии, медикаментозное лечение.</w:t>
      </w:r>
    </w:p>
    <w:p w:rsidR="00A93207" w:rsidRPr="00895E64" w:rsidRDefault="00BF198D" w:rsidP="003447C4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E64">
        <w:rPr>
          <w:rFonts w:ascii="Times New Roman" w:eastAsia="Calibri" w:hAnsi="Times New Roman" w:cs="Times New Roman"/>
          <w:sz w:val="28"/>
          <w:szCs w:val="28"/>
        </w:rPr>
        <w:t>Хронические неспецифические заболевания кишечника: неспецифический язвенный колит, болезнь Крона. Патогенез, клинические проявления, диагностика и дифференциальная диагностика. Консервативная терапия, показания к оперативному лечению.</w:t>
      </w:r>
    </w:p>
    <w:p w:rsidR="00F94F58" w:rsidRDefault="00A93207" w:rsidP="00A93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58</w:t>
      </w:r>
      <w:r w:rsidR="00F94F58" w:rsidRPr="00F94F58">
        <w:rPr>
          <w:rFonts w:ascii="Times New Roman" w:hAnsi="Times New Roman" w:cs="Times New Roman"/>
          <w:sz w:val="28"/>
          <w:szCs w:val="28"/>
        </w:rPr>
        <w:t xml:space="preserve">. </w:t>
      </w:r>
      <w:r w:rsidR="009445F4">
        <w:rPr>
          <w:rFonts w:ascii="Times New Roman" w:hAnsi="Times New Roman" w:cs="Times New Roman"/>
          <w:sz w:val="28"/>
          <w:szCs w:val="28"/>
        </w:rPr>
        <w:t>Нарушения роста у детей: классификация, диагностика, дифференциальный диагноз, лечение.</w:t>
      </w:r>
    </w:p>
    <w:p w:rsidR="009445F4" w:rsidRDefault="00A93207" w:rsidP="00944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59</w:t>
      </w:r>
      <w:r w:rsidR="009445F4">
        <w:rPr>
          <w:rFonts w:ascii="Times New Roman" w:hAnsi="Times New Roman" w:cs="Times New Roman"/>
          <w:sz w:val="28"/>
          <w:szCs w:val="28"/>
        </w:rPr>
        <w:t>. Ожирение у детей и подростков: эпидемиология, этиология, диагностика, дифференциальный диагноз, лечение, профилактика.</w:t>
      </w:r>
    </w:p>
    <w:p w:rsidR="009445F4" w:rsidRDefault="00A93207" w:rsidP="00944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60</w:t>
      </w:r>
      <w:r w:rsidR="009445F4">
        <w:rPr>
          <w:rFonts w:ascii="Times New Roman" w:hAnsi="Times New Roman" w:cs="Times New Roman"/>
          <w:sz w:val="28"/>
          <w:szCs w:val="28"/>
        </w:rPr>
        <w:t>. Сахарный диабет в практике педиатра: диагностика, основные принципы лечения, диспансерное наблюдение.</w:t>
      </w:r>
    </w:p>
    <w:p w:rsidR="009445F4" w:rsidRDefault="00A93207" w:rsidP="00944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61</w:t>
      </w:r>
      <w:r w:rsidR="009445F4">
        <w:rPr>
          <w:rFonts w:ascii="Times New Roman" w:hAnsi="Times New Roman" w:cs="Times New Roman"/>
          <w:sz w:val="28"/>
          <w:szCs w:val="28"/>
        </w:rPr>
        <w:t>.</w:t>
      </w:r>
      <w:r w:rsidR="00B93555">
        <w:rPr>
          <w:rFonts w:ascii="Times New Roman" w:hAnsi="Times New Roman" w:cs="Times New Roman"/>
          <w:sz w:val="28"/>
          <w:szCs w:val="28"/>
        </w:rPr>
        <w:t xml:space="preserve"> Острые осложнения сахарного диабета у детей</w:t>
      </w:r>
      <w:r w:rsidR="009445F4">
        <w:rPr>
          <w:rFonts w:ascii="Times New Roman" w:hAnsi="Times New Roman" w:cs="Times New Roman"/>
          <w:sz w:val="28"/>
          <w:szCs w:val="28"/>
        </w:rPr>
        <w:t xml:space="preserve">: этиология, диагностические </w:t>
      </w:r>
      <w:r w:rsidR="00B93555">
        <w:rPr>
          <w:rFonts w:ascii="Times New Roman" w:hAnsi="Times New Roman" w:cs="Times New Roman"/>
          <w:sz w:val="28"/>
          <w:szCs w:val="28"/>
        </w:rPr>
        <w:t xml:space="preserve">клинико-лабораторные </w:t>
      </w:r>
      <w:r w:rsidR="009445F4">
        <w:rPr>
          <w:rFonts w:ascii="Times New Roman" w:hAnsi="Times New Roman" w:cs="Times New Roman"/>
          <w:sz w:val="28"/>
          <w:szCs w:val="28"/>
        </w:rPr>
        <w:t xml:space="preserve">признаки </w:t>
      </w:r>
      <w:proofErr w:type="spellStart"/>
      <w:r w:rsidR="009445F4">
        <w:rPr>
          <w:rFonts w:ascii="Times New Roman" w:hAnsi="Times New Roman" w:cs="Times New Roman"/>
          <w:sz w:val="28"/>
          <w:szCs w:val="28"/>
        </w:rPr>
        <w:t>кетоацидотическо</w:t>
      </w:r>
      <w:r w:rsidR="00B93555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9445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45F4">
        <w:rPr>
          <w:rFonts w:ascii="Times New Roman" w:hAnsi="Times New Roman" w:cs="Times New Roman"/>
          <w:sz w:val="28"/>
          <w:szCs w:val="28"/>
        </w:rPr>
        <w:t>гиперосмолярной</w:t>
      </w:r>
      <w:proofErr w:type="spellEnd"/>
      <w:r w:rsidR="00B93555">
        <w:rPr>
          <w:rFonts w:ascii="Times New Roman" w:hAnsi="Times New Roman" w:cs="Times New Roman"/>
          <w:sz w:val="28"/>
          <w:szCs w:val="28"/>
        </w:rPr>
        <w:t xml:space="preserve"> и гипогликемической ком, основные принципы оказания неотложной помощи.</w:t>
      </w:r>
    </w:p>
    <w:p w:rsidR="00EB4685" w:rsidRDefault="00A93207" w:rsidP="00944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62</w:t>
      </w:r>
      <w:r w:rsidR="00B93555">
        <w:rPr>
          <w:rFonts w:ascii="Times New Roman" w:hAnsi="Times New Roman" w:cs="Times New Roman"/>
          <w:sz w:val="28"/>
          <w:szCs w:val="28"/>
        </w:rPr>
        <w:t xml:space="preserve">. </w:t>
      </w:r>
      <w:r w:rsidR="00EB4685">
        <w:rPr>
          <w:rFonts w:ascii="Times New Roman" w:hAnsi="Times New Roman" w:cs="Times New Roman"/>
          <w:sz w:val="28"/>
          <w:szCs w:val="28"/>
        </w:rPr>
        <w:t xml:space="preserve">Нарушения полового </w:t>
      </w:r>
      <w:r w:rsidR="00B93555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EB4685">
        <w:rPr>
          <w:rFonts w:ascii="Times New Roman" w:hAnsi="Times New Roman" w:cs="Times New Roman"/>
          <w:sz w:val="28"/>
          <w:szCs w:val="28"/>
        </w:rPr>
        <w:t>в практике педиатра</w:t>
      </w:r>
      <w:r w:rsidR="00B93555">
        <w:rPr>
          <w:rFonts w:ascii="Times New Roman" w:hAnsi="Times New Roman" w:cs="Times New Roman"/>
          <w:sz w:val="28"/>
          <w:szCs w:val="28"/>
        </w:rPr>
        <w:t xml:space="preserve">: </w:t>
      </w:r>
      <w:r w:rsidR="00EB4685">
        <w:rPr>
          <w:rFonts w:ascii="Times New Roman" w:hAnsi="Times New Roman" w:cs="Times New Roman"/>
          <w:sz w:val="28"/>
          <w:szCs w:val="28"/>
        </w:rPr>
        <w:t xml:space="preserve">физиология полового развития, этиология и </w:t>
      </w:r>
      <w:r w:rsidR="00B93555">
        <w:rPr>
          <w:rFonts w:ascii="Times New Roman" w:hAnsi="Times New Roman" w:cs="Times New Roman"/>
          <w:sz w:val="28"/>
          <w:szCs w:val="28"/>
        </w:rPr>
        <w:t xml:space="preserve">клинические </w:t>
      </w:r>
      <w:r w:rsidR="00EB4685">
        <w:rPr>
          <w:rFonts w:ascii="Times New Roman" w:hAnsi="Times New Roman" w:cs="Times New Roman"/>
          <w:sz w:val="28"/>
          <w:szCs w:val="28"/>
        </w:rPr>
        <w:t xml:space="preserve">особенности основных </w:t>
      </w:r>
      <w:r w:rsidR="00B93555">
        <w:rPr>
          <w:rFonts w:ascii="Times New Roman" w:hAnsi="Times New Roman" w:cs="Times New Roman"/>
          <w:sz w:val="28"/>
          <w:szCs w:val="28"/>
        </w:rPr>
        <w:t>форм</w:t>
      </w:r>
      <w:r w:rsidR="00EB4685">
        <w:rPr>
          <w:rFonts w:ascii="Times New Roman" w:hAnsi="Times New Roman" w:cs="Times New Roman"/>
          <w:sz w:val="28"/>
          <w:szCs w:val="28"/>
        </w:rPr>
        <w:t xml:space="preserve"> нарушения полового развития.</w:t>
      </w:r>
    </w:p>
    <w:p w:rsidR="006979F8" w:rsidRDefault="00A93207" w:rsidP="00944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63</w:t>
      </w:r>
      <w:r w:rsidR="00EB4685">
        <w:rPr>
          <w:rFonts w:ascii="Times New Roman" w:hAnsi="Times New Roman" w:cs="Times New Roman"/>
          <w:sz w:val="28"/>
          <w:szCs w:val="28"/>
        </w:rPr>
        <w:t xml:space="preserve">. Заболевания щитовидной железы у детей: </w:t>
      </w:r>
      <w:r w:rsidR="00AF771B">
        <w:rPr>
          <w:rFonts w:ascii="Times New Roman" w:hAnsi="Times New Roman" w:cs="Times New Roman"/>
          <w:sz w:val="28"/>
          <w:szCs w:val="28"/>
        </w:rPr>
        <w:t>классификация, диагностика, дифференциальный диагноз основных нозологических форм, лечение, профилактика.</w:t>
      </w:r>
    </w:p>
    <w:p w:rsidR="00C864CD" w:rsidRDefault="00895E64" w:rsidP="00944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64</w:t>
      </w:r>
      <w:r w:rsidR="006979F8">
        <w:rPr>
          <w:rFonts w:ascii="Times New Roman" w:hAnsi="Times New Roman" w:cs="Times New Roman"/>
          <w:sz w:val="28"/>
          <w:szCs w:val="28"/>
        </w:rPr>
        <w:t>. Врожденная дисфункция коры надпочечников: этиология и патогенез, клинические проявления различных форм в зависимости от возраста, диагностика, основные</w:t>
      </w:r>
      <w:r w:rsidR="00C864CD">
        <w:rPr>
          <w:rFonts w:ascii="Times New Roman" w:hAnsi="Times New Roman" w:cs="Times New Roman"/>
          <w:sz w:val="28"/>
          <w:szCs w:val="28"/>
        </w:rPr>
        <w:t xml:space="preserve"> принципы лечения, профилактика.</w:t>
      </w:r>
    </w:p>
    <w:p w:rsidR="00A93207" w:rsidRDefault="00895E64" w:rsidP="00895E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65</w:t>
      </w:r>
      <w:r w:rsidR="00C864CD">
        <w:rPr>
          <w:rFonts w:ascii="Times New Roman" w:hAnsi="Times New Roman" w:cs="Times New Roman"/>
          <w:sz w:val="28"/>
          <w:szCs w:val="28"/>
        </w:rPr>
        <w:t>. Патология паращитовидных желез у детей: основные нозологические формы</w:t>
      </w:r>
      <w:r w:rsidR="000F3123">
        <w:rPr>
          <w:rFonts w:ascii="Times New Roman" w:hAnsi="Times New Roman" w:cs="Times New Roman"/>
          <w:sz w:val="28"/>
          <w:szCs w:val="28"/>
        </w:rPr>
        <w:t>, их этиология, клинические признаки, диагностика и лечение.</w:t>
      </w:r>
    </w:p>
    <w:p w:rsidR="00B77DE7" w:rsidRDefault="00A93207" w:rsidP="00B77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66</w:t>
      </w:r>
      <w:r w:rsidR="00B77DE7">
        <w:rPr>
          <w:rFonts w:ascii="Times New Roman" w:hAnsi="Times New Roman" w:cs="Times New Roman"/>
          <w:sz w:val="28"/>
          <w:szCs w:val="28"/>
        </w:rPr>
        <w:t>. Анемия: определение, критерии диагностики, классификация.</w:t>
      </w:r>
    </w:p>
    <w:p w:rsidR="004269A0" w:rsidRDefault="00A93207" w:rsidP="00426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67</w:t>
      </w:r>
      <w:r w:rsidR="004269A0">
        <w:rPr>
          <w:rFonts w:ascii="Times New Roman" w:hAnsi="Times New Roman" w:cs="Times New Roman"/>
          <w:sz w:val="28"/>
          <w:szCs w:val="28"/>
        </w:rPr>
        <w:t xml:space="preserve">. Железодефицитная анемия: </w:t>
      </w:r>
      <w:proofErr w:type="spellStart"/>
      <w:r w:rsidR="004269A0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4269A0">
        <w:rPr>
          <w:rFonts w:ascii="Times New Roman" w:hAnsi="Times New Roman" w:cs="Times New Roman"/>
          <w:sz w:val="28"/>
          <w:szCs w:val="28"/>
        </w:rPr>
        <w:t>, клиника, принципы лечения.</w:t>
      </w:r>
    </w:p>
    <w:p w:rsidR="004269A0" w:rsidRDefault="00A93207" w:rsidP="00426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68</w:t>
      </w:r>
      <w:r w:rsidR="004269A0">
        <w:rPr>
          <w:rFonts w:ascii="Times New Roman" w:hAnsi="Times New Roman" w:cs="Times New Roman"/>
          <w:sz w:val="28"/>
          <w:szCs w:val="28"/>
        </w:rPr>
        <w:t>. Гемолитические анемии: признаки внутриклеточного и внутрисосудистого гемолиза, классификация, клинико-лабораторные маркеры.</w:t>
      </w:r>
    </w:p>
    <w:p w:rsidR="004269A0" w:rsidRDefault="00A93207" w:rsidP="00426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69</w:t>
      </w:r>
      <w:r w:rsidR="004269A0">
        <w:rPr>
          <w:rFonts w:ascii="Times New Roman" w:hAnsi="Times New Roman" w:cs="Times New Roman"/>
          <w:sz w:val="28"/>
          <w:szCs w:val="28"/>
        </w:rPr>
        <w:t xml:space="preserve">. Наследственный </w:t>
      </w:r>
      <w:proofErr w:type="spellStart"/>
      <w:r w:rsidR="004269A0">
        <w:rPr>
          <w:rFonts w:ascii="Times New Roman" w:hAnsi="Times New Roman" w:cs="Times New Roman"/>
          <w:sz w:val="28"/>
          <w:szCs w:val="28"/>
        </w:rPr>
        <w:t>микросфероцитоз</w:t>
      </w:r>
      <w:proofErr w:type="spellEnd"/>
      <w:r w:rsidR="004269A0">
        <w:rPr>
          <w:rFonts w:ascii="Times New Roman" w:hAnsi="Times New Roman" w:cs="Times New Roman"/>
          <w:sz w:val="28"/>
          <w:szCs w:val="28"/>
        </w:rPr>
        <w:t>: патогенез, клинико-лабораторные критерии, лечение гемолитического криза.</w:t>
      </w:r>
    </w:p>
    <w:p w:rsidR="00B77DE7" w:rsidRDefault="00A93207" w:rsidP="00B77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70</w:t>
      </w:r>
      <w:r w:rsidR="00B77DE7">
        <w:rPr>
          <w:rFonts w:ascii="Times New Roman" w:hAnsi="Times New Roman" w:cs="Times New Roman"/>
          <w:sz w:val="28"/>
          <w:szCs w:val="28"/>
        </w:rPr>
        <w:t>. Идиопатическая тромбоцитопеническая пурпура: определение,  классификация, клиника.</w:t>
      </w:r>
    </w:p>
    <w:p w:rsidR="00B77DE7" w:rsidRDefault="00A93207" w:rsidP="00B77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71</w:t>
      </w:r>
      <w:r w:rsidR="00B77DE7">
        <w:rPr>
          <w:rFonts w:ascii="Times New Roman" w:hAnsi="Times New Roman" w:cs="Times New Roman"/>
          <w:sz w:val="28"/>
          <w:szCs w:val="28"/>
        </w:rPr>
        <w:t xml:space="preserve">. Идиопатическая тромбоцитопеническая пурпура: </w:t>
      </w:r>
      <w:proofErr w:type="spellStart"/>
      <w:r w:rsidR="00B77DE7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B77DE7">
        <w:rPr>
          <w:rFonts w:ascii="Times New Roman" w:hAnsi="Times New Roman" w:cs="Times New Roman"/>
          <w:sz w:val="28"/>
          <w:szCs w:val="28"/>
        </w:rPr>
        <w:t xml:space="preserve">, принципы </w:t>
      </w:r>
      <w:r w:rsidR="004269A0">
        <w:rPr>
          <w:rFonts w:ascii="Times New Roman" w:hAnsi="Times New Roman" w:cs="Times New Roman"/>
          <w:sz w:val="28"/>
          <w:szCs w:val="28"/>
        </w:rPr>
        <w:t>лечения</w:t>
      </w:r>
      <w:r w:rsidR="00B77DE7">
        <w:rPr>
          <w:rFonts w:ascii="Times New Roman" w:hAnsi="Times New Roman" w:cs="Times New Roman"/>
          <w:sz w:val="28"/>
          <w:szCs w:val="28"/>
        </w:rPr>
        <w:t>.</w:t>
      </w:r>
    </w:p>
    <w:p w:rsidR="00B77DE7" w:rsidRDefault="00A93207" w:rsidP="00B77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269A0">
        <w:rPr>
          <w:rFonts w:ascii="Times New Roman" w:hAnsi="Times New Roman" w:cs="Times New Roman"/>
          <w:sz w:val="28"/>
          <w:szCs w:val="28"/>
        </w:rPr>
        <w:t>7</w:t>
      </w:r>
      <w:r w:rsidR="00895E64">
        <w:rPr>
          <w:rFonts w:ascii="Times New Roman" w:hAnsi="Times New Roman" w:cs="Times New Roman"/>
          <w:sz w:val="28"/>
          <w:szCs w:val="28"/>
        </w:rPr>
        <w:t>2</w:t>
      </w:r>
      <w:r w:rsidR="00B77DE7">
        <w:rPr>
          <w:rFonts w:ascii="Times New Roman" w:hAnsi="Times New Roman" w:cs="Times New Roman"/>
          <w:sz w:val="28"/>
          <w:szCs w:val="28"/>
        </w:rPr>
        <w:t>. Гемофилия: определение, критерии диагностики, профилактическая заместительная терапия.</w:t>
      </w:r>
    </w:p>
    <w:p w:rsidR="00B77DE7" w:rsidRDefault="00A93207" w:rsidP="00B77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73</w:t>
      </w:r>
      <w:r w:rsidR="00B77D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77DE7">
        <w:rPr>
          <w:rFonts w:ascii="Times New Roman" w:hAnsi="Times New Roman" w:cs="Times New Roman"/>
          <w:sz w:val="28"/>
          <w:szCs w:val="28"/>
        </w:rPr>
        <w:t>Геморрагический</w:t>
      </w:r>
      <w:proofErr w:type="gramEnd"/>
      <w:r w:rsidR="00B77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7DE7">
        <w:rPr>
          <w:rFonts w:ascii="Times New Roman" w:hAnsi="Times New Roman" w:cs="Times New Roman"/>
          <w:sz w:val="28"/>
          <w:szCs w:val="28"/>
        </w:rPr>
        <w:t>васкулит</w:t>
      </w:r>
      <w:proofErr w:type="spellEnd"/>
      <w:r w:rsidR="00B77DE7">
        <w:rPr>
          <w:rFonts w:ascii="Times New Roman" w:hAnsi="Times New Roman" w:cs="Times New Roman"/>
          <w:sz w:val="28"/>
          <w:szCs w:val="28"/>
        </w:rPr>
        <w:t xml:space="preserve">: определение, </w:t>
      </w:r>
      <w:proofErr w:type="spellStart"/>
      <w:r w:rsidR="00B77DE7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B77DE7">
        <w:rPr>
          <w:rFonts w:ascii="Times New Roman" w:hAnsi="Times New Roman" w:cs="Times New Roman"/>
          <w:sz w:val="28"/>
          <w:szCs w:val="28"/>
        </w:rPr>
        <w:t>, классификация, основные клинические синдромы.</w:t>
      </w:r>
    </w:p>
    <w:p w:rsidR="00B77DE7" w:rsidRDefault="00A93207" w:rsidP="00B77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74</w:t>
      </w:r>
      <w:r w:rsidR="00B77D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77DE7">
        <w:rPr>
          <w:rFonts w:ascii="Times New Roman" w:hAnsi="Times New Roman" w:cs="Times New Roman"/>
          <w:sz w:val="28"/>
          <w:szCs w:val="28"/>
        </w:rPr>
        <w:t>Геморрагический</w:t>
      </w:r>
      <w:proofErr w:type="gramEnd"/>
      <w:r w:rsidR="00B77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7DE7">
        <w:rPr>
          <w:rFonts w:ascii="Times New Roman" w:hAnsi="Times New Roman" w:cs="Times New Roman"/>
          <w:sz w:val="28"/>
          <w:szCs w:val="28"/>
        </w:rPr>
        <w:t>васкулит</w:t>
      </w:r>
      <w:proofErr w:type="spellEnd"/>
      <w:r w:rsidR="00B77DE7">
        <w:rPr>
          <w:rFonts w:ascii="Times New Roman" w:hAnsi="Times New Roman" w:cs="Times New Roman"/>
          <w:sz w:val="28"/>
          <w:szCs w:val="28"/>
        </w:rPr>
        <w:t>: критерии степени тяжести заболевания, принципы терапии.</w:t>
      </w:r>
    </w:p>
    <w:p w:rsidR="007371EB" w:rsidRDefault="00A93207" w:rsidP="00B77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5E64">
        <w:rPr>
          <w:rFonts w:ascii="Times New Roman" w:hAnsi="Times New Roman" w:cs="Times New Roman"/>
          <w:sz w:val="28"/>
          <w:szCs w:val="28"/>
        </w:rPr>
        <w:t>75</w:t>
      </w:r>
      <w:r w:rsidR="007371EB">
        <w:rPr>
          <w:rFonts w:ascii="Times New Roman" w:hAnsi="Times New Roman" w:cs="Times New Roman"/>
          <w:sz w:val="28"/>
          <w:szCs w:val="28"/>
        </w:rPr>
        <w:t>. Острый лейкоз: определение, классификация, клиника, диагностика.</w:t>
      </w:r>
    </w:p>
    <w:sectPr w:rsidR="00737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7DCF"/>
    <w:multiLevelType w:val="hybridMultilevel"/>
    <w:tmpl w:val="2F36A968"/>
    <w:lvl w:ilvl="0" w:tplc="7E66851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31D69"/>
    <w:multiLevelType w:val="hybridMultilevel"/>
    <w:tmpl w:val="FF7CD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A32B0"/>
    <w:multiLevelType w:val="hybridMultilevel"/>
    <w:tmpl w:val="9C9200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86"/>
    <w:rsid w:val="000863CE"/>
    <w:rsid w:val="000F3123"/>
    <w:rsid w:val="001A127E"/>
    <w:rsid w:val="002101A8"/>
    <w:rsid w:val="003447C4"/>
    <w:rsid w:val="004269A0"/>
    <w:rsid w:val="00540ABC"/>
    <w:rsid w:val="006979F8"/>
    <w:rsid w:val="00723AFB"/>
    <w:rsid w:val="007371EB"/>
    <w:rsid w:val="00895E64"/>
    <w:rsid w:val="009445F4"/>
    <w:rsid w:val="009B4586"/>
    <w:rsid w:val="009D18BC"/>
    <w:rsid w:val="00A77B32"/>
    <w:rsid w:val="00A93207"/>
    <w:rsid w:val="00AB48D7"/>
    <w:rsid w:val="00AF771B"/>
    <w:rsid w:val="00B77DE7"/>
    <w:rsid w:val="00B93555"/>
    <w:rsid w:val="00BF198D"/>
    <w:rsid w:val="00C864CD"/>
    <w:rsid w:val="00EB4685"/>
    <w:rsid w:val="00F9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17</cp:revision>
  <cp:lastPrinted>2014-03-17T10:23:00Z</cp:lastPrinted>
  <dcterms:created xsi:type="dcterms:W3CDTF">2014-03-16T09:51:00Z</dcterms:created>
  <dcterms:modified xsi:type="dcterms:W3CDTF">2014-03-31T10:08:00Z</dcterms:modified>
</cp:coreProperties>
</file>