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C3" w:rsidRPr="003C4FC3" w:rsidRDefault="003C4FC3" w:rsidP="003C4FC3">
      <w:pPr>
        <w:framePr w:w="10396" w:h="2041" w:hRule="exact" w:hSpace="180" w:wrap="auto" w:vAnchor="text" w:hAnchor="page" w:x="961" w:y="-1133"/>
        <w:tabs>
          <w:tab w:val="left" w:pos="500"/>
        </w:tabs>
        <w:spacing w:after="0" w:line="240" w:lineRule="auto"/>
        <w:ind w:right="-30"/>
        <w:jc w:val="right"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:rsidR="003C4FC3" w:rsidRPr="003C4FC3" w:rsidRDefault="003C4FC3" w:rsidP="003C4FC3">
      <w:pPr>
        <w:keepNext/>
        <w:framePr w:w="10396" w:h="2041" w:hRule="exact" w:hSpace="180" w:wrap="auto" w:vAnchor="text" w:hAnchor="page" w:x="961" w:y="-1133"/>
        <w:spacing w:after="0" w:line="240" w:lineRule="auto"/>
        <w:ind w:left="708"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ЭКЗАМЕНАЦИОННЫЕ ВОПРОСЫ ПО ГИГИЕНЕ ДЛЯ ЛЕЧЕБНОГО И ПЕДИАТРИЧЕСКОГО ФАКУЛ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ЬТЕТОВ (3 КУРС)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1. Предмет, задачи и методы гигиены. Гигиеническое значение для врача-лечебника. Гигиеническое нормирование и санитарное законодательство. Организация санитарного надзора в России.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3C4FC3">
        <w:rPr>
          <w:rFonts w:ascii="Times New Roman" w:eastAsia="Calibri" w:hAnsi="Times New Roman" w:cs="Times New Roman"/>
          <w:sz w:val="24"/>
          <w:szCs w:val="24"/>
        </w:rPr>
        <w:t>Ф.Ф.Эрисман</w:t>
      </w:r>
      <w:proofErr w:type="spellEnd"/>
      <w:r w:rsidRPr="003C4FC3">
        <w:rPr>
          <w:rFonts w:ascii="Times New Roman" w:eastAsia="Calibri" w:hAnsi="Times New Roman" w:cs="Times New Roman"/>
          <w:sz w:val="24"/>
          <w:szCs w:val="24"/>
        </w:rPr>
        <w:t xml:space="preserve"> и А.Н. </w:t>
      </w:r>
      <w:proofErr w:type="spellStart"/>
      <w:r w:rsidRPr="003C4FC3">
        <w:rPr>
          <w:rFonts w:ascii="Times New Roman" w:eastAsia="Calibri" w:hAnsi="Times New Roman" w:cs="Times New Roman"/>
          <w:sz w:val="24"/>
          <w:szCs w:val="24"/>
        </w:rPr>
        <w:t>Доброславин</w:t>
      </w:r>
      <w:proofErr w:type="spellEnd"/>
      <w:r w:rsidRPr="003C4FC3">
        <w:rPr>
          <w:rFonts w:ascii="Times New Roman" w:eastAsia="Calibri" w:hAnsi="Times New Roman" w:cs="Times New Roman"/>
          <w:sz w:val="24"/>
          <w:szCs w:val="24"/>
        </w:rPr>
        <w:t xml:space="preserve"> – основоположники отечественной гигиенической науки.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 xml:space="preserve">3. Развитие гигиены в России. Виднейшие гигиенисты: </w:t>
      </w:r>
      <w:proofErr w:type="spellStart"/>
      <w:r w:rsidRPr="003C4FC3">
        <w:rPr>
          <w:rFonts w:ascii="Times New Roman" w:eastAsia="Calibri" w:hAnsi="Times New Roman" w:cs="Times New Roman"/>
          <w:sz w:val="24"/>
          <w:szCs w:val="24"/>
        </w:rPr>
        <w:t>Хлопин</w:t>
      </w:r>
      <w:proofErr w:type="spellEnd"/>
      <w:r w:rsidRPr="003C4FC3">
        <w:rPr>
          <w:rFonts w:ascii="Times New Roman" w:eastAsia="Calibri" w:hAnsi="Times New Roman" w:cs="Times New Roman"/>
          <w:sz w:val="24"/>
          <w:szCs w:val="24"/>
        </w:rPr>
        <w:t xml:space="preserve"> Г.В., Кротков Ф.Г., </w:t>
      </w:r>
      <w:proofErr w:type="spellStart"/>
      <w:r w:rsidRPr="003C4FC3">
        <w:rPr>
          <w:rFonts w:ascii="Times New Roman" w:eastAsia="Calibri" w:hAnsi="Times New Roman" w:cs="Times New Roman"/>
          <w:sz w:val="24"/>
          <w:szCs w:val="24"/>
        </w:rPr>
        <w:t>Летавет</w:t>
      </w:r>
      <w:proofErr w:type="spellEnd"/>
      <w:r w:rsidRPr="003C4FC3">
        <w:rPr>
          <w:rFonts w:ascii="Times New Roman" w:eastAsia="Calibri" w:hAnsi="Times New Roman" w:cs="Times New Roman"/>
          <w:sz w:val="24"/>
          <w:szCs w:val="24"/>
        </w:rPr>
        <w:t xml:space="preserve"> А.А., Андреева-Галанина Е.Ц. и др.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4. Химический состав атмосферного воздуха, его гигиеническое значение.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5. Условия, определяющие загрязнение атмосферного воздуха выбросами промышленных предприятий, санитарно-защитные зоны, их обоснование.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6. Факторы, определяющие уровень загрязнения атмосферного воздуха, связанные с планировкой населенных мест и комплексом санитарно-технических мер по защите атмосферы на промышленных предприятиях и ТЭЦ.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7. Ультрафиолетовая радиация солнца и искусственных источников, ее биологическое и гигиеническое значение. Проблема компенсации ультрафиолетовой недостаточности у отдельных групп населения.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8. Инфракрасная радиация солнца и искусственных источников, действие на организм, единицы измерения, меры защиты от избыточной инфракрасной радиации на производстве.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9. Температурная инверсия, ее роль в загрязнении атмосферного воздуха городов. Фотохимический смог в современных городах. Меры борьбы с ними.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10. Гигиеническое значение видимой части спектра солнечной радиации, понятие о световом климате.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11. Промышленные, бытовые выбросы в атмосферу. Влияние их на прозрачность атмосферы, растительность, санитарные условия жизни и заболеваемость населения.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12. Зависимость основных зрительных функций от освещенности, как один из факторов гигиенического нормирования освещения.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13. Основные световые понятия и единицы, применяемые в санитарной практике для оценки естественного и искусственного освещения.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14. Гигиенические требования к естественному освещению жилых, общественных и производственных зданий. Санитарные нормативы.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15. Гигиенические требования к искусственному освещению жилых, общественных и производственных зданий. Санитарные нормативы.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16. Влажность воздуха, ее показатели. Гигиеническое значение физиологического дефицита насыщения, точка росы. Гигиенические нормативы влажности воздуха.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17. Движение воздуха. Гигиеническое значение движения воздуха открытых мест, в жилых помещениях и ЛПУ, санитарные нормативы.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18. Сущность вентиляции, ее гигиеническое значение. Оценка различных способов вентиляции. Основные ее виды. Кондиционирование воздуха.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19. Предельно допустимые концентрации вредных веществ в атмосферном воздухе – максимально разовые, среднесуточные, их обоснование.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20. Нормы метеоусловий в жилых и общественных зданиях. Гигиеническая оценка различных систем, приборов и приспособлений по отоплению жилых и общественных помещений.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21. Гигиенические требования к выбору места для строительства населенного пункта, гигиеническое обоснование зонирования территорий населенного пункта. Гигиеническое значение зеленых насаждений.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22. Гигиеническая характеристика методов обезвреживания твердых нечистот и отбросов.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23. Гигиеническая характеристика методов обезвреживания жидких нечистот и отбросов.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24. Характеристика загрязнения почвы хозяйственно-фекальными отбросами и промышленными отходами. Процессы самоочищения почвы от органических веществ. Показатели чистоты почвы (химические, бактериологические, гельминтологические, энтомологические, </w:t>
      </w:r>
      <w:proofErr w:type="spellStart"/>
      <w:r w:rsidRPr="003C4FC3">
        <w:rPr>
          <w:rFonts w:ascii="Times New Roman" w:eastAsia="Calibri" w:hAnsi="Times New Roman" w:cs="Times New Roman"/>
          <w:sz w:val="24"/>
          <w:szCs w:val="24"/>
        </w:rPr>
        <w:t>общесанитарные</w:t>
      </w:r>
      <w:proofErr w:type="spellEnd"/>
      <w:r w:rsidRPr="003C4FC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25. Почва, гигиеническое значение механического строения, минерального состава. Экзогенные химические вещества в почве, принципы их нормирования.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26. Централизованное водоснабжение. Его гигиенические преимущества перед местным водоснабжением. Методы очистки и обеззараживания воды, применяемые при централизованном водоснабжении.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27. Местное водоснабжение. Санитарно-гигиенические требования к источникам местного водоснабжения.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 xml:space="preserve">28. Источники водоснабжения. Их гигиеническая характеристика. Гигиенические требования к качеству воды </w:t>
      </w:r>
      <w:proofErr w:type="spellStart"/>
      <w:r w:rsidRPr="003C4FC3">
        <w:rPr>
          <w:rFonts w:ascii="Times New Roman" w:eastAsia="Calibri" w:hAnsi="Times New Roman" w:cs="Times New Roman"/>
          <w:sz w:val="24"/>
          <w:szCs w:val="24"/>
        </w:rPr>
        <w:t>водоисточников</w:t>
      </w:r>
      <w:proofErr w:type="spellEnd"/>
      <w:r w:rsidRPr="003C4FC3">
        <w:rPr>
          <w:rFonts w:ascii="Times New Roman" w:eastAsia="Calibri" w:hAnsi="Times New Roman" w:cs="Times New Roman"/>
          <w:sz w:val="24"/>
          <w:szCs w:val="24"/>
        </w:rPr>
        <w:t xml:space="preserve"> (ГОСТ 2761-82).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29. Микроэлементы и токсические вещества в воде, их гигиеническое значение, принципы нормирования.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30. Физиологическое, гигиеническое, эпидемиологическое и биогеохимическое значение воды. Нормы водопотребления при централизованном и местном водоснабжении. Нормы качества питьевой воды.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31. Санитарно-химические и санитарно-бактериологические показатели качества воды. Их гигиеническое значение.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32. Источники загрязнения водоемов. Прямые и косвенные показатели фекального загрязнения воды и эпидемиологической опасности воды. Процессы самоочищения воды.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33. Основные способы водоподготовки.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 xml:space="preserve">34. Методы хлорирования воды. Санитарный </w:t>
      </w:r>
      <w:proofErr w:type="gramStart"/>
      <w:r w:rsidRPr="003C4FC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3C4FC3">
        <w:rPr>
          <w:rFonts w:ascii="Times New Roman" w:eastAsia="Calibri" w:hAnsi="Times New Roman" w:cs="Times New Roman"/>
          <w:sz w:val="24"/>
          <w:szCs w:val="24"/>
        </w:rPr>
        <w:t xml:space="preserve"> качеством хлорирования.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 xml:space="preserve">35. Санитарная охрана </w:t>
      </w:r>
      <w:proofErr w:type="spellStart"/>
      <w:r w:rsidRPr="003C4FC3">
        <w:rPr>
          <w:rFonts w:ascii="Times New Roman" w:eastAsia="Calibri" w:hAnsi="Times New Roman" w:cs="Times New Roman"/>
          <w:sz w:val="24"/>
          <w:szCs w:val="24"/>
        </w:rPr>
        <w:t>водоисточников</w:t>
      </w:r>
      <w:proofErr w:type="spellEnd"/>
      <w:r w:rsidRPr="003C4FC3">
        <w:rPr>
          <w:rFonts w:ascii="Times New Roman" w:eastAsia="Calibri" w:hAnsi="Times New Roman" w:cs="Times New Roman"/>
          <w:sz w:val="24"/>
          <w:szCs w:val="24"/>
        </w:rPr>
        <w:t>, законодательство, зоны санитарной охраны.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36. Выбор места, ориентация, внутренняя планировка, строительные материалы жилых и общественных зданий.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37. Системы больничного строительства, их гигиеническая оценка. Гигиенические требования к месту расположения и благоустройству больничного участка, к его планировке и застройке.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38. Гигиенические требования к внутренней планировке больниц. Правила размещения и устройство основных и вспомогательных помещений.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39. Гигиенические требования к планировке и эксплуатации специализированных отделений и больниц (хирургическое, детское, инфекционное, акушерско-гинекологическое, туберкулезное).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40. Неспецифическая профилактика внутрибольничных инфекций (архитектурно-планировочные, санитарно-технические, санитарно-противоэпидемические и дезинфекционно-стерилизационные мероприятия).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41. Гигиенические требования к составу, внутренней планировке и взаимному расположению помещений приемного покоя и больничной секции.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42. Микроклимат и воздухообмен в отделениях больниц различного профиля, санитарные нормативы.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43. Гигиенические требования к отоплению, вентиляция помещений больничной секции в отделениях различного профиля.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44. Гигиенические требования к естественному и искусственному освещению помещений больничной секции в отделениях различного профиля.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45. Санитарные нормы площади, кубатуры и воздухообмена жилых и больничных помещений, обоснование этих норм. Режим проветривания.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46. Производственные (профессиональные) вредности и профессиональные заболевания. Классификация. Понятие о неспецифических заболеваниях, связанных с влиянием неблагоприятных производственных факторов.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lastRenderedPageBreak/>
        <w:t>47. Гигиенические обоснования режима труда и отдыха при физической и умственной работе (тяжесть, напряженность труда, условия производственной среды, значение пола и возраста).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48. Производственный микроклимат. Его влияние на физиологические функции организма. Заболевания, вызываемые действием неблагоприятных метеоусловий, в т. ч. тепловым излучением. Основные мероприятия по улучшению микроклимата производственных помещений.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49. Производственная вибрация. Источники. Действие ее на организм. Профилактика вибрационной болезни. Принципы нормирования.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50. Производственный шум, источники, действие на организм, принципы нормирования.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 xml:space="preserve">51. </w:t>
      </w:r>
      <w:proofErr w:type="gramStart"/>
      <w:r w:rsidRPr="003C4FC3">
        <w:rPr>
          <w:rFonts w:ascii="Times New Roman" w:eastAsia="Calibri" w:hAnsi="Times New Roman" w:cs="Times New Roman"/>
          <w:sz w:val="24"/>
          <w:szCs w:val="24"/>
        </w:rPr>
        <w:t xml:space="preserve">Показатели шума: частота, давление, характер спектра, временная характеристика; меры борьбы с шумом, в </w:t>
      </w:r>
      <w:proofErr w:type="spellStart"/>
      <w:r w:rsidRPr="003C4FC3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3C4FC3">
        <w:rPr>
          <w:rFonts w:ascii="Times New Roman" w:eastAsia="Calibri" w:hAnsi="Times New Roman" w:cs="Times New Roman"/>
          <w:sz w:val="24"/>
          <w:szCs w:val="24"/>
        </w:rPr>
        <w:t>. средства индивидуальной защиты.</w:t>
      </w:r>
      <w:proofErr w:type="gramEnd"/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52. Профессиональные заболевания, связанные с работой при повышенном и пониженном атмосферном давлении. Меры их профилактики.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53. Профессиональные отравления солями тяжелых металлов (свинцом, ртутью и их соединениями). Меры их профилактики.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54. Зависимость токсического действия ядов от физико-химических свойств, концентрации, длительности воздействия, метеоусловий внешней среды, состояния организма. Понятие о предельно-допустимых концентрациях и их обоснование.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55. Промышленная пыль. Источники. Гигиеническое значение отдельных физико-химических свойств пыли. Профессиональные пылевые заболевания, исключая силикоз. Мероприятия по борьбе с производственной пылью и меры личной защиты от нее.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56. Силикоз. Этиология. Патогенез. Меры профилактики. Обоснование предельно-допустимых концентраций пыли в воздухе производственных помещений.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57. Профессиональные отравления. Понятие об острых и хронических отравлениях. Причины. Меры борьбы с ними.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58. Профессиональные отравления соединениями ароматического ряда (бензол и т.д.). Меры борьбы с ними.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59. Меры личной защиты органов дыхания, зрения, слуха, кожных покровов от неблагоприятных факторов производственной среды.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 xml:space="preserve">60. Влияние трудового процесса на физиологические функции организма, состояние </w:t>
      </w:r>
      <w:proofErr w:type="gramStart"/>
      <w:r w:rsidRPr="003C4FC3">
        <w:rPr>
          <w:rFonts w:ascii="Times New Roman" w:eastAsia="Calibri" w:hAnsi="Times New Roman" w:cs="Times New Roman"/>
          <w:sz w:val="24"/>
          <w:szCs w:val="24"/>
        </w:rPr>
        <w:t>сердечно-сосудистой</w:t>
      </w:r>
      <w:proofErr w:type="gramEnd"/>
      <w:r w:rsidRPr="003C4FC3">
        <w:rPr>
          <w:rFonts w:ascii="Times New Roman" w:eastAsia="Calibri" w:hAnsi="Times New Roman" w:cs="Times New Roman"/>
          <w:sz w:val="24"/>
          <w:szCs w:val="24"/>
        </w:rPr>
        <w:t xml:space="preserve"> системы, дыхательной и нервно-мышечной систем.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61. Особенности метеоусловий на производстве. Обоснование норм производственного микроклимата.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62. Работоспособность, значение упражнения и тренировки. Утомление и меры борьбы с ним.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63. Вопросы регламентации труда женщин и подростков.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64. Законодательство об обязательных предварительных медосмотрах, при поступлении на работу, связанную с опасными, вредными веществами и неблагоприятными производственными факторами, и периодических медосмотрах. Его роль в снижении общей и профессиональной заболеваемости. Приказ МЗ РФ № 90 от 14.03.96.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65. Основные понятия и единицы, используемые в радиационной гигиене для выражения количества радиоактивного вещества, экспозиционной и поглощенной доз.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66. Воздействие ионизирующего излучения на организм человека: стохастические и детерминированные эффекты облучения Эквивалентная доза, эффективная доза, понятие, единицы измерения.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67. Нормы радиационной безопасности НРБ-99/2009. Категории облучаемых лиц, основные дозовые пределы.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68. Классы работ с радиоактивными веществами. Гигиенические требования к планировке и оборудованию помещений, предназначенных для работ с радиоактивными веществами. Личная гигиена, санитарно-бытовые устройства защиты при работе с радиоактивными веществами.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lastRenderedPageBreak/>
        <w:t>69. Системы мероприятий по профилактике заболеваний при работе, связанной с ионизирующим излучением.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70. Нормы физиологических потребностей в пищевых веществах и энергии различных групп населения в нашей стране.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71. Требования к кулинарной обработке и отпуску готовой пищи на предприятиях общественного питания.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72. Требования к размещению, внутренней планировке и санитарному режиму пищеблока больниц, медицинский контроль здоровья персонала. Обязанности дежурного врача по контролю питания.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73. Гигиенические требования к оборудованию и кухонному инвентарю предприятий общественного питания.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74. Гигиенические требования к внутренней планировке и санитарно-техническому устройству предприятий общественного питания.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75. Гигиенические требования к пище и организации питания.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76. Белки. Значение их в питании человека. Потребность в белке. Пищевые продукты – источники белка. Проблема обеспечения населения белком.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77. Жиры. Значение их в питании человека. Гигиенические характеристики жиров растительного и животного происхождения. Потребность в жирах.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78. Строение, химический состав и пищевая ценность мяса теплокровных животных. Инфекционные заболевания и глистные инвазии, передающиеся через мясо, их профилактика.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79. Химический состав и пищевая ценность рыбы. Рыба как источник глистных инвазий и желудочно-кишечных заболеваний. Их профилактика. Причины порчи рыбы.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80. Химический состав и пищевая ценность молока, его отрицательные качества. Гигиеническая оценка органолептических и физико-химических показателей доброкачественности молока.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81. Яйца, их пищевая ценность и использование в питании различных возрастных групп.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82. Углеводы. Значение их в питании человека. Гигиеническая характеристика простых углеводов и полисахаридов. Пектиновые вещества. Потребность в углеводах.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83. Зерновые продукты, их пищевая ценность и использование. Значение клетчатки. Защищенные и незащищенные углеводы.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84. Химический состав и пищевая ценность муки, хлеба. Гигиеническая оценка основных органолептических и физико-химических показателей их доброкачественности.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85. Химический состав и пищевая ценность овощей, фруктов, ягод, грибов.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86. Гигиеническая оценка различных способов консервирования пищевых продуктов. Понятие о доброкачественности и недоброкачественности, условно годных продуктах. Фальсификация пищевых продуктов.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87. Классификация пищевых отравлений. Пищевые интоксикации микробной природы. Этиология, клинические особенности, эпидемиология, профилактика.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88. Методика расследования пищевых отравлений. Роль врача-лечебника и санитарной службы в расследовании пищевых отравлений.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 xml:space="preserve">89. </w:t>
      </w:r>
      <w:proofErr w:type="spellStart"/>
      <w:r w:rsidRPr="003C4FC3">
        <w:rPr>
          <w:rFonts w:ascii="Times New Roman" w:eastAsia="Calibri" w:hAnsi="Times New Roman" w:cs="Times New Roman"/>
          <w:sz w:val="24"/>
          <w:szCs w:val="24"/>
        </w:rPr>
        <w:t>Токсикоинфекции</w:t>
      </w:r>
      <w:proofErr w:type="spellEnd"/>
      <w:r w:rsidRPr="003C4FC3">
        <w:rPr>
          <w:rFonts w:ascii="Times New Roman" w:eastAsia="Calibri" w:hAnsi="Times New Roman" w:cs="Times New Roman"/>
          <w:sz w:val="24"/>
          <w:szCs w:val="24"/>
        </w:rPr>
        <w:t>, этиология, патогенез. Клинические симптомы. Эпидемиология и профилактика.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 xml:space="preserve">90. Витамины. Значение их в питании человека. Проблема обеспечения населения витаминами, </w:t>
      </w:r>
      <w:proofErr w:type="spellStart"/>
      <w:r w:rsidRPr="003C4FC3">
        <w:rPr>
          <w:rFonts w:ascii="Times New Roman" w:eastAsia="Calibri" w:hAnsi="Times New Roman" w:cs="Times New Roman"/>
          <w:sz w:val="24"/>
          <w:szCs w:val="24"/>
        </w:rPr>
        <w:t>гипо</w:t>
      </w:r>
      <w:proofErr w:type="spellEnd"/>
      <w:r w:rsidRPr="003C4FC3">
        <w:rPr>
          <w:rFonts w:ascii="Times New Roman" w:eastAsia="Calibri" w:hAnsi="Times New Roman" w:cs="Times New Roman"/>
          <w:sz w:val="24"/>
          <w:szCs w:val="24"/>
        </w:rPr>
        <w:t>- и авитаминозы</w:t>
      </w:r>
      <w:proofErr w:type="gramStart"/>
      <w:r w:rsidRPr="003C4FC3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3C4FC3">
        <w:rPr>
          <w:rFonts w:ascii="Times New Roman" w:eastAsia="Calibri" w:hAnsi="Times New Roman" w:cs="Times New Roman"/>
          <w:sz w:val="24"/>
          <w:szCs w:val="24"/>
        </w:rPr>
        <w:t xml:space="preserve">, В, С, Д и их профилактика. </w:t>
      </w:r>
    </w:p>
    <w:p w:rsidR="003C4FC3" w:rsidRPr="003C4FC3" w:rsidRDefault="003C4FC3" w:rsidP="003C4FC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ВОЕННАЯ ГИГИЕНА</w:t>
      </w:r>
    </w:p>
    <w:p w:rsidR="003C4FC3" w:rsidRPr="003C4FC3" w:rsidRDefault="003C4FC3" w:rsidP="003C4FC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91. Определение и содержание военной гигиены. Роль и место санитарно-гигиенических мероприятий в общей системе медицинского обеспечения войск в военное время.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92. Определение гигиены труда как самостоятельной дисциплины. Связь с физиологией труда, эргономикой, инженерной психологией. Обитаемость как физиологическая проблема в гигиене военного труда.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lastRenderedPageBreak/>
        <w:t>93. Гигиена труда в радиотехнических войсках. Специфические и неспецифические факторы внешней среды, влияние на личный состав.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94. Биологическое действие и ПДУ СВЧ - облучения. Организация мероприятий по профилактике вредного действия СВЧ – поля. Основные способы защиты от него. Гигиена труда на радиостанциях.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95. Гигиенические требования к участку для размещения войск в полевых условиях. Типы полевых жилищ и их гигиеническая оценка.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96. Землянка – основной тип жилища при полевом размещении войск. Опыт ВОВ.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97. Гигиена службы в артиллерии. Особенности условий службы артиллеристов. Физическая нагрузка на органы зрения. Ударные волны. Их влияние на организм человека и меры защиты.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98. Санитарно-гигиенические мероприятия при передвижении по железной дороге, автомобильном транспорте и в пешем строю.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99. Особенности санитарно-гигиенических мероприятий при передвижении войск зимой и в условиях высоких температур.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100. Порядок сбора и захоронения погибших бойцов. Обязанности военно-медицинской службы.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101. Понятие о различных типах фортификационных сооружений и их значение в условиях современной войны. Характеристика условий пребывания в них.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102. Особенности микроклимата и химического состава воздуха в закрытых фортификационных сооружениях. Предельно-допустимые значения метеофакторов. ПДК кислорода и углекислоты.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103. Краткая характеристика некоторых веществ, определяющих условия военного труда (аккумуляторные газы, антидетонаторы).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104. Краткая характеристика некоторых веществ, определяющих условия военного труда (горюче-смазочные материалы, антифризы).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105. Характеристика комплектов и приборов, используемых при проведении гигиенических исследований в полевых условиях: ДП-5А, ЛГ-1, МПХР, РЛУ-2.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106. Силы и средства, методы медицинской экспертизы продовольствия в условиях заражения РВ, ОВ, БС.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107. Организация и проведение медицинской экспертизы продовольствия в условиях возможного заражения РВ, ОВ, БС. Этапы экспертизы в полевых условиях.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108. Характеристика рабочих мест членов экипажа танков и боевых машин пехоты: шум, вибрация, метеоусловия, мероприятия по предупреждению их неблагоприятного воздействия; освещение.</w:t>
      </w:r>
    </w:p>
    <w:p w:rsidR="003C4FC3" w:rsidRPr="003C4FC3" w:rsidRDefault="003C4FC3" w:rsidP="003C4FC3">
      <w:pPr>
        <w:spacing w:after="12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109. Загрязнение воздуха в танках и боевых машинах пехоты пороховыми и выхлопными газами, их состав, действие на организм человека.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 xml:space="preserve">110. Размещение войск в населенных пунктах. Перспективные полевые здания – передвижные, </w:t>
      </w:r>
      <w:proofErr w:type="spellStart"/>
      <w:r w:rsidRPr="003C4FC3">
        <w:rPr>
          <w:rFonts w:ascii="Times New Roman" w:eastAsia="Calibri" w:hAnsi="Times New Roman" w:cs="Times New Roman"/>
          <w:sz w:val="24"/>
          <w:szCs w:val="24"/>
        </w:rPr>
        <w:t>блочно</w:t>
      </w:r>
      <w:proofErr w:type="spellEnd"/>
      <w:r w:rsidRPr="003C4FC3">
        <w:rPr>
          <w:rFonts w:ascii="Times New Roman" w:eastAsia="Calibri" w:hAnsi="Times New Roman" w:cs="Times New Roman"/>
          <w:sz w:val="24"/>
          <w:szCs w:val="24"/>
        </w:rPr>
        <w:t>-контейнерные, надувные.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111. Способы дезактивации и обезвреживания продовольствия и тары.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112.Питание в условиях применения оружия массового поражения.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 xml:space="preserve">113. Организация и проведение разведки </w:t>
      </w:r>
      <w:proofErr w:type="spellStart"/>
      <w:r w:rsidRPr="003C4FC3">
        <w:rPr>
          <w:rFonts w:ascii="Times New Roman" w:eastAsia="Calibri" w:hAnsi="Times New Roman" w:cs="Times New Roman"/>
          <w:sz w:val="24"/>
          <w:szCs w:val="24"/>
        </w:rPr>
        <w:t>водоисточников</w:t>
      </w:r>
      <w:proofErr w:type="spellEnd"/>
      <w:r w:rsidRPr="003C4F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114. Обязанности инженерных и химических войск (служб), медицинской и продовольственной службы в организации водоснабжения войск в полевых условиях.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115. Оценка качества воды в полевых условиях, используемые табельные комплекты и приборы, их краткие тактико-технические данные; методы исследования.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 xml:space="preserve">116. Пункты водоснабжения и </w:t>
      </w:r>
      <w:proofErr w:type="spellStart"/>
      <w:r w:rsidRPr="003C4FC3">
        <w:rPr>
          <w:rFonts w:ascii="Times New Roman" w:eastAsia="Calibri" w:hAnsi="Times New Roman" w:cs="Times New Roman"/>
          <w:sz w:val="24"/>
          <w:szCs w:val="24"/>
        </w:rPr>
        <w:t>водоразбора</w:t>
      </w:r>
      <w:proofErr w:type="spellEnd"/>
      <w:r w:rsidRPr="003C4FC3">
        <w:rPr>
          <w:rFonts w:ascii="Times New Roman" w:eastAsia="Calibri" w:hAnsi="Times New Roman" w:cs="Times New Roman"/>
          <w:sz w:val="24"/>
          <w:szCs w:val="24"/>
        </w:rPr>
        <w:t>, гигиенические требования и их оборудование. Санитарный надзор за водоснабжением войск в условиях применения оружия массового поражения.</w:t>
      </w:r>
    </w:p>
    <w:p w:rsidR="003C4FC3" w:rsidRPr="003C4FC3" w:rsidRDefault="003C4FC3" w:rsidP="003C4FC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C4FC3">
        <w:rPr>
          <w:rFonts w:ascii="Times New Roman" w:eastAsia="Calibri" w:hAnsi="Times New Roman" w:cs="Times New Roman"/>
          <w:b/>
          <w:sz w:val="26"/>
          <w:szCs w:val="26"/>
        </w:rPr>
        <w:t>ВОПРОСЫ ПО ГИГИЕНЕ ДЕТЕЙ И ПОДРОСТКОВ</w:t>
      </w:r>
    </w:p>
    <w:p w:rsidR="003C4FC3" w:rsidRPr="003C4FC3" w:rsidRDefault="003C4FC3" w:rsidP="003C4FC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lastRenderedPageBreak/>
        <w:t>117. Гигиена детей и подростков. Предмет, цели, задачи, место в работе врача.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 xml:space="preserve">118. История развития гигиены детей и подростков – </w:t>
      </w:r>
      <w:proofErr w:type="spellStart"/>
      <w:r w:rsidRPr="003C4FC3">
        <w:rPr>
          <w:rFonts w:ascii="Times New Roman" w:eastAsia="Calibri" w:hAnsi="Times New Roman" w:cs="Times New Roman"/>
          <w:sz w:val="24"/>
          <w:szCs w:val="24"/>
        </w:rPr>
        <w:t>Мольков</w:t>
      </w:r>
      <w:proofErr w:type="spellEnd"/>
      <w:r w:rsidRPr="003C4FC3">
        <w:rPr>
          <w:rFonts w:ascii="Times New Roman" w:eastAsia="Calibri" w:hAnsi="Times New Roman" w:cs="Times New Roman"/>
          <w:sz w:val="24"/>
          <w:szCs w:val="24"/>
        </w:rPr>
        <w:t xml:space="preserve"> А.В., </w:t>
      </w:r>
      <w:proofErr w:type="spellStart"/>
      <w:r w:rsidRPr="003C4FC3">
        <w:rPr>
          <w:rFonts w:ascii="Times New Roman" w:eastAsia="Calibri" w:hAnsi="Times New Roman" w:cs="Times New Roman"/>
          <w:sz w:val="24"/>
          <w:szCs w:val="24"/>
        </w:rPr>
        <w:t>Громбах</w:t>
      </w:r>
      <w:proofErr w:type="spellEnd"/>
      <w:r w:rsidRPr="003C4FC3">
        <w:rPr>
          <w:rFonts w:ascii="Times New Roman" w:eastAsia="Calibri" w:hAnsi="Times New Roman" w:cs="Times New Roman"/>
          <w:sz w:val="24"/>
          <w:szCs w:val="24"/>
        </w:rPr>
        <w:t xml:space="preserve"> С.М., </w:t>
      </w:r>
      <w:proofErr w:type="spellStart"/>
      <w:r w:rsidRPr="003C4FC3">
        <w:rPr>
          <w:rFonts w:ascii="Times New Roman" w:eastAsia="Calibri" w:hAnsi="Times New Roman" w:cs="Times New Roman"/>
          <w:sz w:val="24"/>
          <w:szCs w:val="24"/>
        </w:rPr>
        <w:t>Сердюковская</w:t>
      </w:r>
      <w:proofErr w:type="spellEnd"/>
      <w:r w:rsidRPr="003C4FC3">
        <w:rPr>
          <w:rFonts w:ascii="Times New Roman" w:eastAsia="Calibri" w:hAnsi="Times New Roman" w:cs="Times New Roman"/>
          <w:sz w:val="24"/>
          <w:szCs w:val="24"/>
        </w:rPr>
        <w:t xml:space="preserve"> Г.Н.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119. Здоровье детей и подростков. Понятие, методы изучения.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120. Неравномерность темпов роста и развития детского организма. Гигиеническое значение и практическое применение.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121. Физическое развитие, понятие. Анализ физического развития детей и подростков, его цели и задачи.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 xml:space="preserve">122. Оценка физического развития методом </w:t>
      </w:r>
      <w:proofErr w:type="spellStart"/>
      <w:r w:rsidRPr="003C4FC3">
        <w:rPr>
          <w:rFonts w:ascii="Times New Roman" w:eastAsia="Calibri" w:hAnsi="Times New Roman" w:cs="Times New Roman"/>
          <w:sz w:val="24"/>
          <w:szCs w:val="24"/>
        </w:rPr>
        <w:t>сигмальных</w:t>
      </w:r>
      <w:proofErr w:type="spellEnd"/>
      <w:r w:rsidRPr="003C4FC3">
        <w:rPr>
          <w:rFonts w:ascii="Times New Roman" w:eastAsia="Calibri" w:hAnsi="Times New Roman" w:cs="Times New Roman"/>
          <w:sz w:val="24"/>
          <w:szCs w:val="24"/>
        </w:rPr>
        <w:t xml:space="preserve"> отклонений, построение антропометрического профиля, значение.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123. Методика вариационно-статистической обработки антропометрических данных. Стандарты физического развития.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124. Оценка физического развития детей и подростков по шкалам регрессии, коэффициент регрессии.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 xml:space="preserve">125. Понятие о </w:t>
      </w:r>
      <w:proofErr w:type="spellStart"/>
      <w:r w:rsidRPr="003C4FC3">
        <w:rPr>
          <w:rFonts w:ascii="Times New Roman" w:eastAsia="Calibri" w:hAnsi="Times New Roman" w:cs="Times New Roman"/>
          <w:sz w:val="24"/>
          <w:szCs w:val="24"/>
        </w:rPr>
        <w:t>центильной</w:t>
      </w:r>
      <w:proofErr w:type="spellEnd"/>
      <w:r w:rsidRPr="003C4FC3">
        <w:rPr>
          <w:rFonts w:ascii="Times New Roman" w:eastAsia="Calibri" w:hAnsi="Times New Roman" w:cs="Times New Roman"/>
          <w:sz w:val="24"/>
          <w:szCs w:val="24"/>
        </w:rPr>
        <w:t xml:space="preserve"> оценке физического развития детей и подростков. Классификация групп физического развития.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126. Оценка физического развития методом определения физиологической зрелости.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 xml:space="preserve">127. Оценка здоровья детей и подростков на индивидуальном уровне. Критерии здоровья по С.М. </w:t>
      </w:r>
      <w:proofErr w:type="spellStart"/>
      <w:r w:rsidRPr="003C4FC3">
        <w:rPr>
          <w:rFonts w:ascii="Times New Roman" w:eastAsia="Calibri" w:hAnsi="Times New Roman" w:cs="Times New Roman"/>
          <w:sz w:val="24"/>
          <w:szCs w:val="24"/>
        </w:rPr>
        <w:t>Громбаху</w:t>
      </w:r>
      <w:proofErr w:type="spellEnd"/>
      <w:r w:rsidRPr="003C4F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128. Закаливание. Понятия, средства, сущность закаливания.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129. Закаленность. Оценка эффективности закаливания. Методы определения степени закаленности, распределение на группы.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130. Гигиенические требования к наружной и внутренней планировке детских дошкольных учреждений. Санитарно-противоэпидемический режим в детских дошкольных учреждениях, понятие, система гигиенических и противоэпидемических мероприятий.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131. Гигиенические требования к воздушно-тепловому и световому режиму в детских дошкольных учреждениях.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132. Групповая ячейка. Состав помещений для детей дошкольного возраста. Гигиенические требования к микроклимату, воздухообмену, освещению отдельных помещений.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133. Гигиенические требования к детским игрушкам, к школьным учебникам.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134. Гигиенические требования к детской мебели, маркировке, рассаживанию детей. Обязанности мед</w:t>
      </w:r>
      <w:proofErr w:type="gramStart"/>
      <w:r w:rsidRPr="003C4FC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C4F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C4FC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3C4FC3">
        <w:rPr>
          <w:rFonts w:ascii="Times New Roman" w:eastAsia="Calibri" w:hAnsi="Times New Roman" w:cs="Times New Roman"/>
          <w:sz w:val="24"/>
          <w:szCs w:val="24"/>
        </w:rPr>
        <w:t>ерсонала по контролю за рассаживанием детей.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135.Понятие о рациональном питании детей.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136. Организация питания в детских коллективах, особенности питания в учреждениях разных типов: детские дошкольные, общеобразовательные школы, ПТУ.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137. Адаптация детей к обучению в школе. Методы определения «школьной зрелости», оценка.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 xml:space="preserve">138. Оптимальный двигательный режим как важнейший принцип физического воспитания, </w:t>
      </w:r>
      <w:proofErr w:type="spellStart"/>
      <w:r w:rsidRPr="003C4FC3">
        <w:rPr>
          <w:rFonts w:ascii="Times New Roman" w:eastAsia="Calibri" w:hAnsi="Times New Roman" w:cs="Times New Roman"/>
          <w:sz w:val="24"/>
          <w:szCs w:val="24"/>
        </w:rPr>
        <w:t>гипер</w:t>
      </w:r>
      <w:proofErr w:type="spellEnd"/>
      <w:r w:rsidRPr="003C4FC3">
        <w:rPr>
          <w:rFonts w:ascii="Times New Roman" w:eastAsia="Calibri" w:hAnsi="Times New Roman" w:cs="Times New Roman"/>
          <w:sz w:val="24"/>
          <w:szCs w:val="24"/>
        </w:rPr>
        <w:t>- и гипокинезия, меры профилактики.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139. Характеристика режима дня и требования для детей дошкольного и школьного возраста.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140. Организация учебного процесса, гигиенические принципы.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 xml:space="preserve">141. Гигиенические требования к учебно-производственному обучению в ПТУ. Основы законодательства по охране труда подростков, статьи Трудового кодекса Российской Федерации </w:t>
      </w:r>
      <w:smartTag w:uri="urn:schemas-microsoft-com:office:smarttags" w:element="metricconverter">
        <w:smartTagPr>
          <w:attr w:name="ProductID" w:val="2001 г"/>
        </w:smartTagPr>
        <w:r w:rsidRPr="003C4FC3">
          <w:rPr>
            <w:rFonts w:ascii="Times New Roman" w:eastAsia="Calibri" w:hAnsi="Times New Roman" w:cs="Times New Roman"/>
            <w:sz w:val="24"/>
            <w:szCs w:val="24"/>
          </w:rPr>
          <w:t>2001 г</w:t>
        </w:r>
      </w:smartTag>
      <w:r w:rsidRPr="003C4F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142. Понятие о профориентации и профотборе, медицинские аспекты.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143. Понятие о врачебно-профессиональной консультации подростков. Медицинское освидетельствование подростков.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t>144. Контроль физического воспитания детей дошкольного и школьного возраста. Особенности физического воспитания детей с хроническими заболеваниями.</w:t>
      </w:r>
    </w:p>
    <w:p w:rsidR="003C4FC3" w:rsidRPr="003C4FC3" w:rsidRDefault="003C4FC3" w:rsidP="003C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C3">
        <w:rPr>
          <w:rFonts w:ascii="Times New Roman" w:eastAsia="Calibri" w:hAnsi="Times New Roman" w:cs="Times New Roman"/>
          <w:sz w:val="24"/>
          <w:szCs w:val="24"/>
        </w:rPr>
        <w:lastRenderedPageBreak/>
        <w:t>145. Гигиенические требования к планировке, оборудованию и содержанию школ. Подбор и расстановка мебели в классной комнате. Освещение, микроклимат, их нормирование.</w:t>
      </w:r>
    </w:p>
    <w:p w:rsidR="003C4FC3" w:rsidRPr="003C4FC3" w:rsidRDefault="003C4FC3" w:rsidP="003C4FC3">
      <w:pPr>
        <w:tabs>
          <w:tab w:val="left" w:pos="22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33B4" w:rsidRDefault="006733B4"/>
    <w:sectPr w:rsidR="0067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C3"/>
    <w:rsid w:val="003C4FC3"/>
    <w:rsid w:val="0067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2861</Words>
  <Characters>16312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Бурт Альбина Анасовна</dc:creator>
  <cp:lastModifiedBy>Бурт Альбина Анасовна</cp:lastModifiedBy>
  <cp:revision>1</cp:revision>
  <dcterms:created xsi:type="dcterms:W3CDTF">2018-12-13T10:37:00Z</dcterms:created>
  <dcterms:modified xsi:type="dcterms:W3CDTF">2018-12-13T10:41:00Z</dcterms:modified>
</cp:coreProperties>
</file>